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D5F5E">
      <w:pPr>
        <w:tabs>
          <w:tab w:val="left" w:pos="7041"/>
        </w:tabs>
        <w:bidi w:val="0"/>
        <w:jc w:val="both"/>
        <w:rPr>
          <w:rFonts w:hint="default" w:ascii="黑体" w:hAnsi="黑体" w:eastAsia="黑体" w:cs="黑体"/>
          <w:color w:val="auto"/>
          <w:spacing w:val="-11"/>
          <w:sz w:val="30"/>
          <w:szCs w:val="30"/>
          <w:highlight w:val="none"/>
          <w:lang w:val="en-US" w:eastAsia="zh-CN"/>
        </w:rPr>
      </w:pPr>
    </w:p>
    <w:p w14:paraId="6BD49DD6">
      <w:pPr>
        <w:rPr>
          <w:color w:val="auto"/>
          <w:sz w:val="28"/>
          <w:szCs w:val="28"/>
          <w:highlight w:val="none"/>
        </w:rPr>
      </w:pPr>
    </w:p>
    <w:p w14:paraId="0F7298C9">
      <w:pPr>
        <w:keepNext w:val="0"/>
        <w:keepLines w:val="0"/>
        <w:pageBreakBefore w:val="0"/>
        <w:widowControl w:val="0"/>
        <w:kinsoku/>
        <w:wordWrap/>
        <w:overflowPunct/>
        <w:topLinePunct w:val="0"/>
        <w:autoSpaceDE/>
        <w:autoSpaceDN/>
        <w:bidi w:val="0"/>
        <w:adjustRightInd/>
        <w:snapToGrid/>
        <w:spacing w:after="59" w:afterLines="10" w:line="700" w:lineRule="exact"/>
        <w:jc w:val="center"/>
        <w:textAlignment w:val="auto"/>
        <w:rPr>
          <w:rFonts w:hint="eastAsia" w:ascii="方正小标宋简体" w:eastAsia="方正小标宋简体"/>
          <w:color w:val="auto"/>
          <w:spacing w:val="28"/>
          <w:sz w:val="48"/>
          <w:szCs w:val="48"/>
          <w:highlight w:val="none"/>
        </w:rPr>
      </w:pPr>
    </w:p>
    <w:p w14:paraId="45164FE9">
      <w:pPr>
        <w:keepNext w:val="0"/>
        <w:keepLines w:val="0"/>
        <w:pageBreakBefore w:val="0"/>
        <w:widowControl w:val="0"/>
        <w:kinsoku/>
        <w:wordWrap/>
        <w:overflowPunct/>
        <w:topLinePunct w:val="0"/>
        <w:autoSpaceDE/>
        <w:autoSpaceDN/>
        <w:bidi w:val="0"/>
        <w:adjustRightInd/>
        <w:snapToGrid/>
        <w:spacing w:after="59" w:afterLines="10" w:line="700" w:lineRule="exact"/>
        <w:jc w:val="center"/>
        <w:textAlignment w:val="auto"/>
        <w:rPr>
          <w:rFonts w:hint="eastAsia" w:ascii="方正小标宋简体" w:hAnsi="方正小标宋简体" w:eastAsia="方正小标宋简体" w:cs="方正小标宋简体"/>
          <w:color w:val="auto"/>
          <w:spacing w:val="28"/>
          <w:sz w:val="48"/>
          <w:szCs w:val="48"/>
          <w:highlight w:val="none"/>
        </w:rPr>
      </w:pPr>
      <w:r>
        <w:rPr>
          <w:rFonts w:hint="eastAsia" w:ascii="方正小标宋简体" w:hAnsi="方正小标宋简体" w:eastAsia="方正小标宋简体" w:cs="方正小标宋简体"/>
          <w:sz w:val="48"/>
          <w:szCs w:val="48"/>
        </w:rPr>
        <w:t>2025年全国</w:t>
      </w:r>
      <w:r>
        <w:rPr>
          <w:rFonts w:hint="eastAsia" w:ascii="方正小标宋简体" w:hAnsi="方正小标宋简体" w:eastAsia="方正小标宋简体" w:cs="方正小标宋简体"/>
          <w:sz w:val="48"/>
          <w:szCs w:val="48"/>
          <w:lang w:val="en-US" w:eastAsia="zh-CN"/>
        </w:rPr>
        <w:t>青少年自由搏击锦标赛</w:t>
      </w:r>
    </w:p>
    <w:p w14:paraId="3B199C6F">
      <w:pPr>
        <w:keepNext w:val="0"/>
        <w:keepLines w:val="0"/>
        <w:pageBreakBefore w:val="0"/>
        <w:widowControl w:val="0"/>
        <w:kinsoku/>
        <w:wordWrap/>
        <w:overflowPunct/>
        <w:topLinePunct w:val="0"/>
        <w:autoSpaceDE/>
        <w:autoSpaceDN/>
        <w:bidi w:val="0"/>
        <w:adjustRightInd/>
        <w:snapToGrid/>
        <w:spacing w:after="59" w:afterLines="10" w:line="700" w:lineRule="exact"/>
        <w:jc w:val="center"/>
        <w:textAlignment w:val="auto"/>
        <w:rPr>
          <w:rFonts w:hint="eastAsia" w:ascii="方正小标宋简体" w:eastAsia="方正小标宋简体"/>
          <w:color w:val="auto"/>
          <w:spacing w:val="28"/>
          <w:sz w:val="48"/>
          <w:szCs w:val="48"/>
          <w:highlight w:val="none"/>
        </w:rPr>
      </w:pPr>
    </w:p>
    <w:p w14:paraId="70E53473">
      <w:pPr>
        <w:keepNext w:val="0"/>
        <w:keepLines w:val="0"/>
        <w:pageBreakBefore w:val="0"/>
        <w:widowControl w:val="0"/>
        <w:kinsoku/>
        <w:wordWrap/>
        <w:overflowPunct/>
        <w:topLinePunct w:val="0"/>
        <w:autoSpaceDE/>
        <w:autoSpaceDN/>
        <w:bidi w:val="0"/>
        <w:adjustRightInd/>
        <w:snapToGrid/>
        <w:spacing w:after="59" w:afterLines="10" w:line="700" w:lineRule="exact"/>
        <w:jc w:val="center"/>
        <w:textAlignment w:val="auto"/>
        <w:rPr>
          <w:rFonts w:hint="eastAsia" w:ascii="方正小标宋简体" w:eastAsia="方正小标宋简体" w:cs="Times New Roman"/>
          <w:color w:val="auto"/>
          <w:spacing w:val="28"/>
          <w:sz w:val="44"/>
          <w:szCs w:val="44"/>
          <w:highlight w:val="none"/>
        </w:rPr>
      </w:pPr>
    </w:p>
    <w:p w14:paraId="36E51C86">
      <w:pPr>
        <w:spacing w:after="59" w:afterLines="10"/>
        <w:jc w:val="center"/>
        <w:rPr>
          <w:rFonts w:hint="eastAsia" w:ascii="方正小标宋简体" w:eastAsia="方正小标宋简体"/>
          <w:color w:val="auto"/>
          <w:sz w:val="84"/>
          <w:szCs w:val="84"/>
          <w:highlight w:val="none"/>
        </w:rPr>
      </w:pPr>
    </w:p>
    <w:p w14:paraId="6409E79D">
      <w:pPr>
        <w:spacing w:after="59" w:afterLines="10"/>
        <w:jc w:val="center"/>
        <w:rPr>
          <w:rFonts w:ascii="方正小标宋简体" w:eastAsia="方正小标宋简体"/>
          <w:color w:val="auto"/>
          <w:sz w:val="84"/>
          <w:szCs w:val="84"/>
          <w:highlight w:val="none"/>
        </w:rPr>
      </w:pPr>
      <w:r>
        <w:rPr>
          <w:rFonts w:hint="eastAsia" w:ascii="方正小标宋简体" w:eastAsia="方正小标宋简体"/>
          <w:color w:val="auto"/>
          <w:sz w:val="84"/>
          <w:szCs w:val="84"/>
          <w:highlight w:val="none"/>
        </w:rPr>
        <w:t>推 介 书</w:t>
      </w:r>
    </w:p>
    <w:p w14:paraId="13B9B261">
      <w:pPr>
        <w:rPr>
          <w:color w:val="auto"/>
          <w:sz w:val="28"/>
          <w:szCs w:val="28"/>
          <w:highlight w:val="none"/>
        </w:rPr>
      </w:pPr>
    </w:p>
    <w:p w14:paraId="6E3BA356">
      <w:pPr>
        <w:jc w:val="center"/>
        <w:rPr>
          <w:color w:val="auto"/>
          <w:sz w:val="56"/>
          <w:szCs w:val="56"/>
          <w:highlight w:val="none"/>
        </w:rPr>
      </w:pPr>
    </w:p>
    <w:p w14:paraId="2FF63B7A">
      <w:pPr>
        <w:jc w:val="center"/>
        <w:rPr>
          <w:color w:val="auto"/>
          <w:sz w:val="56"/>
          <w:szCs w:val="56"/>
          <w:highlight w:val="none"/>
        </w:rPr>
      </w:pPr>
    </w:p>
    <w:p w14:paraId="297029C9">
      <w:pPr>
        <w:jc w:val="center"/>
        <w:rPr>
          <w:color w:val="auto"/>
          <w:sz w:val="56"/>
          <w:szCs w:val="56"/>
          <w:highlight w:val="none"/>
        </w:rPr>
      </w:pPr>
    </w:p>
    <w:p w14:paraId="5829C0EB">
      <w:pPr>
        <w:rPr>
          <w:color w:val="auto"/>
          <w:sz w:val="28"/>
          <w:szCs w:val="28"/>
          <w:highlight w:val="none"/>
        </w:rPr>
      </w:pPr>
    </w:p>
    <w:p w14:paraId="49A04BD3">
      <w:pPr>
        <w:spacing w:after="59" w:afterLines="10" w:line="520" w:lineRule="exact"/>
        <w:jc w:val="center"/>
        <w:rPr>
          <w:rFonts w:ascii="黑体" w:eastAsia="黑体"/>
          <w:color w:val="auto"/>
          <w:sz w:val="28"/>
          <w:szCs w:val="28"/>
          <w:highlight w:val="none"/>
        </w:rPr>
      </w:pPr>
      <w:r>
        <w:rPr>
          <w:rFonts w:hint="eastAsia" w:ascii="黑体" w:eastAsia="黑体"/>
          <w:color w:val="auto"/>
          <w:sz w:val="28"/>
          <w:szCs w:val="28"/>
          <w:highlight w:val="none"/>
        </w:rPr>
        <w:t>国家体育总局武术运动管理中心</w:t>
      </w:r>
    </w:p>
    <w:p w14:paraId="7B47FBDC">
      <w:pPr>
        <w:jc w:val="center"/>
        <w:rPr>
          <w:rFonts w:hint="default"/>
          <w:color w:val="auto"/>
          <w:highlight w:val="none"/>
          <w:lang w:val="en-US"/>
        </w:rPr>
        <w:sectPr>
          <w:pgSz w:w="11906" w:h="16838"/>
          <w:pgMar w:top="1134" w:right="1531" w:bottom="1134" w:left="1531" w:header="851" w:footer="1134" w:gutter="0"/>
          <w:pgBorders>
            <w:top w:val="none" w:sz="0" w:space="0"/>
            <w:left w:val="none" w:sz="0" w:space="0"/>
            <w:bottom w:val="none" w:sz="0" w:space="0"/>
            <w:right w:val="none" w:sz="0" w:space="0"/>
          </w:pgBorders>
          <w:cols w:space="720" w:num="1"/>
          <w:docGrid w:type="linesAndChars" w:linePitch="595" w:charSpace="2272"/>
        </w:sectPr>
      </w:pPr>
      <w:r>
        <w:rPr>
          <w:rFonts w:hint="eastAsia"/>
          <w:color w:val="auto"/>
          <w:sz w:val="28"/>
          <w:szCs w:val="28"/>
          <w:highlight w:val="none"/>
        </w:rPr>
        <w:t>二〇二</w:t>
      </w:r>
      <w:r>
        <w:rPr>
          <w:rFonts w:hint="eastAsia"/>
          <w:color w:val="auto"/>
          <w:sz w:val="28"/>
          <w:szCs w:val="28"/>
          <w:highlight w:val="none"/>
          <w:lang w:val="en-US" w:eastAsia="zh-CN"/>
        </w:rPr>
        <w:t>五</w:t>
      </w:r>
      <w:r>
        <w:rPr>
          <w:rFonts w:hint="eastAsia"/>
          <w:color w:val="auto"/>
          <w:sz w:val="28"/>
          <w:szCs w:val="28"/>
          <w:highlight w:val="none"/>
        </w:rPr>
        <w:t>年</w:t>
      </w:r>
      <w:r>
        <w:rPr>
          <w:rFonts w:hint="eastAsia"/>
          <w:color w:val="auto"/>
          <w:sz w:val="28"/>
          <w:szCs w:val="28"/>
          <w:highlight w:val="none"/>
          <w:lang w:val="en-US" w:eastAsia="zh-CN"/>
        </w:rPr>
        <w:t>六</w:t>
      </w:r>
    </w:p>
    <w:p w14:paraId="03E4882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方正小标宋简体" w:hAnsi="方正小标宋简体" w:eastAsia="方正小标宋简体" w:cs="方正小标宋简体"/>
          <w:b w:val="0"/>
          <w:bCs w:val="0"/>
          <w:color w:val="auto"/>
          <w:sz w:val="36"/>
          <w:szCs w:val="36"/>
          <w:highlight w:val="none"/>
          <w:lang w:val="en-US" w:eastAsia="zh-CN"/>
        </w:rPr>
      </w:pPr>
      <w:bookmarkStart w:id="0" w:name="_GoBack"/>
      <w:bookmarkEnd w:id="0"/>
      <w:r>
        <w:rPr>
          <w:rFonts w:hint="eastAsia" w:ascii="方正小标宋简体" w:hAnsi="方正小标宋简体" w:eastAsia="方正小标宋简体" w:cs="方正小标宋简体"/>
          <w:b w:val="0"/>
          <w:bCs w:val="0"/>
          <w:color w:val="auto"/>
          <w:sz w:val="36"/>
          <w:szCs w:val="36"/>
          <w:highlight w:val="none"/>
          <w:lang w:val="en-US" w:eastAsia="zh-CN"/>
        </w:rPr>
        <w:t>2025年全国青少年自由搏击锦标赛</w:t>
      </w:r>
    </w:p>
    <w:tbl>
      <w:tblPr>
        <w:tblStyle w:val="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331"/>
        <w:gridCol w:w="1329"/>
        <w:gridCol w:w="5666"/>
      </w:tblGrid>
      <w:tr w14:paraId="24361F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847" w:type="dxa"/>
            <w:gridSpan w:val="3"/>
            <w:shd w:val="clear" w:color="auto" w:fill="D9D9D9"/>
            <w:noWrap w:val="0"/>
            <w:vAlign w:val="center"/>
          </w:tcPr>
          <w:p w14:paraId="011563A6">
            <w:pPr>
              <w:keepNext w:val="0"/>
              <w:keepLines w:val="0"/>
              <w:suppressLineNumbers w:val="0"/>
              <w:adjustRightInd w:val="0"/>
              <w:snapToGrid w:val="0"/>
              <w:spacing w:before="0" w:beforeAutospacing="0" w:after="0" w:afterAutospacing="0"/>
              <w:ind w:left="0" w:right="0"/>
              <w:rPr>
                <w:rFonts w:ascii="微软雅黑" w:eastAsia="微软雅黑"/>
                <w:color w:val="auto"/>
                <w:sz w:val="40"/>
                <w:szCs w:val="40"/>
                <w:highlight w:val="none"/>
              </w:rPr>
            </w:pPr>
            <w:r>
              <w:rPr>
                <w:rFonts w:hint="eastAsia" w:ascii="微软雅黑" w:eastAsia="微软雅黑" w:cs="Times New Roman"/>
                <w:color w:val="auto"/>
                <w:sz w:val="24"/>
                <w:highlight w:val="none"/>
              </w:rPr>
              <w:t>赛事介绍</w:t>
            </w:r>
          </w:p>
        </w:tc>
      </w:tr>
      <w:tr w14:paraId="3257B0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55" w:hRule="atLeast"/>
          <w:jc w:val="center"/>
        </w:trPr>
        <w:tc>
          <w:tcPr>
            <w:tcW w:w="8847" w:type="dxa"/>
            <w:gridSpan w:val="3"/>
            <w:noWrap w:val="0"/>
            <w:vAlign w:val="center"/>
          </w:tcPr>
          <w:p w14:paraId="7C8F6966">
            <w:pPr>
              <w:pStyle w:val="4"/>
              <w:snapToGrid w:val="0"/>
              <w:jc w:val="both"/>
              <w:rPr>
                <w:color w:val="auto"/>
                <w:highlight w:val="none"/>
              </w:rPr>
            </w:pPr>
            <w:r>
              <w:rPr>
                <w:rFonts w:hint="eastAsia"/>
                <w:color w:val="auto"/>
                <w:highlight w:val="none"/>
              </w:rPr>
              <w:t>1 比赛项目：自由搏击，按照世界自由搏击联合会最新竞赛规则</w:t>
            </w:r>
            <w:r>
              <w:rPr>
                <w:rFonts w:hint="eastAsia"/>
                <w:color w:val="auto"/>
                <w:highlight w:val="none"/>
                <w:lang w:val="en-US" w:eastAsia="zh-CN"/>
              </w:rPr>
              <w:t>及中国武术协会《中国自由搏击竞赛规则（试行）》执行。</w:t>
            </w:r>
          </w:p>
          <w:p w14:paraId="2490647F">
            <w:pPr>
              <w:pStyle w:val="4"/>
              <w:snapToGrid w:val="0"/>
              <w:jc w:val="both"/>
              <w:rPr>
                <w:color w:val="auto"/>
                <w:highlight w:val="none"/>
              </w:rPr>
            </w:pPr>
            <w:r>
              <w:rPr>
                <w:rFonts w:hint="eastAsia"/>
                <w:color w:val="auto"/>
                <w:highlight w:val="none"/>
              </w:rPr>
              <w:t>2 运动员与随队官员：约</w:t>
            </w:r>
            <w:r>
              <w:rPr>
                <w:rFonts w:hint="eastAsia"/>
                <w:color w:val="auto"/>
                <w:highlight w:val="none"/>
                <w:lang w:val="en-US" w:eastAsia="zh-CN"/>
              </w:rPr>
              <w:t>400</w:t>
            </w:r>
            <w:r>
              <w:rPr>
                <w:rFonts w:hint="eastAsia"/>
                <w:color w:val="auto"/>
                <w:highlight w:val="none"/>
              </w:rPr>
              <w:t>人。</w:t>
            </w:r>
          </w:p>
          <w:p w14:paraId="689E7269">
            <w:pPr>
              <w:pStyle w:val="4"/>
              <w:snapToGrid w:val="0"/>
              <w:jc w:val="both"/>
              <w:rPr>
                <w:color w:val="auto"/>
                <w:highlight w:val="none"/>
              </w:rPr>
            </w:pPr>
            <w:r>
              <w:rPr>
                <w:rFonts w:hint="eastAsia"/>
                <w:color w:val="auto"/>
                <w:highlight w:val="none"/>
              </w:rPr>
              <w:t>3 技术官员：包括纠纷委员会和执行裁判员共约计50人（不含辅助裁判员）。</w:t>
            </w:r>
          </w:p>
        </w:tc>
      </w:tr>
      <w:tr w14:paraId="3B5FBF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847" w:type="dxa"/>
            <w:gridSpan w:val="3"/>
            <w:shd w:val="clear" w:color="auto" w:fill="D9D9D9"/>
            <w:noWrap w:val="0"/>
            <w:vAlign w:val="center"/>
          </w:tcPr>
          <w:p w14:paraId="2A7D3610">
            <w:pPr>
              <w:adjustRightInd w:val="0"/>
              <w:snapToGrid w:val="0"/>
              <w:rPr>
                <w:rFonts w:ascii="微软雅黑" w:eastAsia="微软雅黑"/>
                <w:color w:val="auto"/>
                <w:sz w:val="24"/>
                <w:highlight w:val="none"/>
              </w:rPr>
            </w:pPr>
            <w:r>
              <w:rPr>
                <w:rFonts w:hint="eastAsia" w:ascii="微软雅黑" w:eastAsia="微软雅黑"/>
                <w:color w:val="auto"/>
                <w:sz w:val="24"/>
                <w:highlight w:val="none"/>
              </w:rPr>
              <w:t>赛事性质</w:t>
            </w:r>
          </w:p>
        </w:tc>
      </w:tr>
      <w:tr w14:paraId="28DF2D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8847" w:type="dxa"/>
            <w:gridSpan w:val="3"/>
            <w:noWrap w:val="0"/>
            <w:vAlign w:val="center"/>
          </w:tcPr>
          <w:p w14:paraId="41C825BC">
            <w:pPr>
              <w:pStyle w:val="4"/>
              <w:snapToGrid w:val="0"/>
              <w:jc w:val="both"/>
              <w:rPr>
                <w:color w:val="auto"/>
                <w:highlight w:val="none"/>
              </w:rPr>
            </w:pPr>
            <w:r>
              <w:rPr>
                <w:rFonts w:hint="eastAsia"/>
                <w:color w:val="auto"/>
                <w:highlight w:val="none"/>
              </w:rPr>
              <w:t xml:space="preserve">国家体育总局武术运动管理中心、中国武术协会主办 </w:t>
            </w:r>
          </w:p>
        </w:tc>
      </w:tr>
      <w:tr w14:paraId="4CFA0E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847" w:type="dxa"/>
            <w:gridSpan w:val="3"/>
            <w:shd w:val="clear" w:color="auto" w:fill="D9D9D9"/>
            <w:noWrap w:val="0"/>
            <w:vAlign w:val="center"/>
          </w:tcPr>
          <w:p w14:paraId="0DA7CF57">
            <w:pPr>
              <w:adjustRightInd w:val="0"/>
              <w:snapToGrid w:val="0"/>
              <w:rPr>
                <w:rFonts w:ascii="微软雅黑" w:eastAsia="微软雅黑"/>
                <w:color w:val="auto"/>
                <w:sz w:val="24"/>
                <w:highlight w:val="none"/>
              </w:rPr>
            </w:pPr>
            <w:r>
              <w:rPr>
                <w:rFonts w:hint="eastAsia" w:ascii="微软雅黑" w:eastAsia="微软雅黑"/>
                <w:color w:val="auto"/>
                <w:sz w:val="24"/>
                <w:highlight w:val="none"/>
              </w:rPr>
              <w:t>时间安排</w:t>
            </w:r>
          </w:p>
        </w:tc>
      </w:tr>
      <w:tr w14:paraId="1DE78C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10" w:hRule="atLeast"/>
          <w:jc w:val="center"/>
        </w:trPr>
        <w:tc>
          <w:tcPr>
            <w:tcW w:w="8847" w:type="dxa"/>
            <w:gridSpan w:val="3"/>
            <w:noWrap w:val="0"/>
            <w:vAlign w:val="center"/>
          </w:tcPr>
          <w:p w14:paraId="6EA0A694">
            <w:pPr>
              <w:pStyle w:val="4"/>
              <w:snapToGrid w:val="0"/>
              <w:jc w:val="both"/>
              <w:rPr>
                <w:color w:val="auto"/>
                <w:highlight w:val="none"/>
              </w:rPr>
            </w:pPr>
            <w:r>
              <w:rPr>
                <w:rFonts w:hint="eastAsia"/>
                <w:color w:val="auto"/>
                <w:highlight w:val="none"/>
                <w:lang w:val="en-US" w:eastAsia="zh-CN"/>
              </w:rPr>
              <w:t>2025年9月份</w:t>
            </w:r>
            <w:r>
              <w:rPr>
                <w:rFonts w:hint="eastAsia"/>
                <w:color w:val="auto"/>
                <w:highlight w:val="none"/>
              </w:rPr>
              <w:t>（比赛时间</w:t>
            </w:r>
            <w:r>
              <w:rPr>
                <w:rFonts w:hint="eastAsia"/>
                <w:color w:val="auto"/>
                <w:highlight w:val="none"/>
                <w:lang w:val="en-US" w:eastAsia="zh-CN"/>
              </w:rPr>
              <w:t>5</w:t>
            </w:r>
            <w:r>
              <w:rPr>
                <w:rFonts w:hint="eastAsia"/>
                <w:color w:val="auto"/>
                <w:highlight w:val="none"/>
              </w:rPr>
              <w:t>-</w:t>
            </w:r>
            <w:r>
              <w:rPr>
                <w:rFonts w:hint="eastAsia"/>
                <w:color w:val="auto"/>
                <w:highlight w:val="none"/>
                <w:lang w:val="en-US" w:eastAsia="zh-CN"/>
              </w:rPr>
              <w:t>6</w:t>
            </w:r>
            <w:r>
              <w:rPr>
                <w:rFonts w:hint="eastAsia"/>
                <w:color w:val="auto"/>
                <w:highlight w:val="none"/>
              </w:rPr>
              <w:t xml:space="preserve">天）。竞赛管理人员、技术官员于赛前3天报到，运动队于赛前2天报到；全体人员于赛后1天离会。  </w:t>
            </w:r>
          </w:p>
        </w:tc>
      </w:tr>
      <w:tr w14:paraId="1FF5E0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847" w:type="dxa"/>
            <w:gridSpan w:val="3"/>
            <w:shd w:val="clear" w:color="auto" w:fill="D9D9D9"/>
            <w:noWrap w:val="0"/>
            <w:vAlign w:val="center"/>
          </w:tcPr>
          <w:p w14:paraId="07AA56D2">
            <w:pPr>
              <w:adjustRightInd w:val="0"/>
              <w:snapToGrid w:val="0"/>
              <w:rPr>
                <w:rFonts w:ascii="微软雅黑" w:eastAsia="微软雅黑"/>
                <w:color w:val="auto"/>
                <w:highlight w:val="none"/>
              </w:rPr>
            </w:pPr>
            <w:r>
              <w:rPr>
                <w:rFonts w:hint="eastAsia" w:ascii="微软雅黑" w:eastAsia="微软雅黑"/>
                <w:color w:val="auto"/>
                <w:sz w:val="24"/>
                <w:highlight w:val="none"/>
              </w:rPr>
              <w:t>承办条件</w:t>
            </w:r>
          </w:p>
        </w:tc>
      </w:tr>
      <w:tr w14:paraId="7400FE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00" w:hRule="atLeast"/>
          <w:jc w:val="center"/>
        </w:trPr>
        <w:tc>
          <w:tcPr>
            <w:tcW w:w="1418" w:type="dxa"/>
            <w:noWrap w:val="0"/>
            <w:vAlign w:val="center"/>
          </w:tcPr>
          <w:p w14:paraId="3FDFDFBD">
            <w:pPr>
              <w:pStyle w:val="4"/>
              <w:snapToGrid w:val="0"/>
              <w:jc w:val="center"/>
              <w:rPr>
                <w:color w:val="auto"/>
                <w:highlight w:val="none"/>
              </w:rPr>
            </w:pPr>
            <w:r>
              <w:rPr>
                <w:rFonts w:hint="eastAsia"/>
                <w:color w:val="auto"/>
                <w:highlight w:val="none"/>
              </w:rPr>
              <w:t>承办资质</w:t>
            </w:r>
          </w:p>
        </w:tc>
        <w:tc>
          <w:tcPr>
            <w:tcW w:w="7429" w:type="dxa"/>
            <w:gridSpan w:val="2"/>
            <w:noWrap w:val="0"/>
            <w:vAlign w:val="center"/>
          </w:tcPr>
          <w:p w14:paraId="3C8A1B37">
            <w:pPr>
              <w:pStyle w:val="4"/>
              <w:snapToGrid w:val="0"/>
              <w:jc w:val="both"/>
              <w:rPr>
                <w:color w:val="auto"/>
                <w:highlight w:val="none"/>
              </w:rPr>
            </w:pPr>
            <w:r>
              <w:rPr>
                <w:color w:val="auto"/>
                <w:highlight w:val="none"/>
              </w:rPr>
              <w:t>政府机构、社会团体、企事业单位，无不良信息记录，有较强市场推广能力，有赛事承办经验、政府或体育行政部门推荐的优先。</w:t>
            </w:r>
          </w:p>
        </w:tc>
      </w:tr>
      <w:tr w14:paraId="196F2C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0" w:hRule="atLeast"/>
          <w:jc w:val="center"/>
        </w:trPr>
        <w:tc>
          <w:tcPr>
            <w:tcW w:w="1418" w:type="dxa"/>
            <w:noWrap w:val="0"/>
            <w:vAlign w:val="center"/>
          </w:tcPr>
          <w:p w14:paraId="1811ECF9">
            <w:pPr>
              <w:pStyle w:val="4"/>
              <w:snapToGrid w:val="0"/>
              <w:jc w:val="center"/>
              <w:rPr>
                <w:color w:val="auto"/>
                <w:highlight w:val="none"/>
              </w:rPr>
            </w:pPr>
            <w:r>
              <w:rPr>
                <w:rFonts w:hint="eastAsia"/>
                <w:color w:val="auto"/>
                <w:highlight w:val="none"/>
              </w:rPr>
              <w:t>赛事保障</w:t>
            </w:r>
          </w:p>
        </w:tc>
        <w:tc>
          <w:tcPr>
            <w:tcW w:w="1417" w:type="dxa"/>
            <w:noWrap w:val="0"/>
            <w:vAlign w:val="center"/>
          </w:tcPr>
          <w:p w14:paraId="3F94CE11">
            <w:pPr>
              <w:pStyle w:val="4"/>
              <w:snapToGrid w:val="0"/>
              <w:jc w:val="center"/>
              <w:rPr>
                <w:color w:val="auto"/>
                <w:highlight w:val="none"/>
              </w:rPr>
            </w:pPr>
            <w:r>
              <w:rPr>
                <w:rFonts w:hint="eastAsia"/>
                <w:color w:val="auto"/>
                <w:highlight w:val="none"/>
              </w:rPr>
              <w:t>场馆</w:t>
            </w:r>
          </w:p>
        </w:tc>
        <w:tc>
          <w:tcPr>
            <w:tcW w:w="6012" w:type="dxa"/>
            <w:noWrap w:val="0"/>
            <w:vAlign w:val="top"/>
          </w:tcPr>
          <w:p w14:paraId="082EBBEA">
            <w:pPr>
              <w:pStyle w:val="4"/>
              <w:snapToGrid w:val="0"/>
              <w:ind w:left="210"/>
              <w:jc w:val="both"/>
              <w:rPr>
                <w:color w:val="auto"/>
                <w:highlight w:val="none"/>
              </w:rPr>
            </w:pPr>
            <w:r>
              <w:rPr>
                <w:rFonts w:hint="eastAsia"/>
                <w:color w:val="auto"/>
                <w:highlight w:val="none"/>
              </w:rPr>
              <w:t>1</w:t>
            </w:r>
            <w:r>
              <w:rPr>
                <w:rFonts w:hint="eastAsia"/>
                <w:color w:val="auto"/>
                <w:highlight w:val="none"/>
                <w:lang w:eastAsia="zh-CN"/>
              </w:rPr>
              <w:t>.</w:t>
            </w:r>
            <w:r>
              <w:rPr>
                <w:rFonts w:hint="eastAsia"/>
                <w:color w:val="auto"/>
                <w:highlight w:val="none"/>
              </w:rPr>
              <w:t>比赛场馆的内场空间至少400平方米。比赛擂台四周保护软垫外围边线至少200厘米内应保留平整空旷的空间，地面垂直无障碍空间不少于700厘米。具备赛前热身用房等必要的竞赛功能用房及相关设施。比赛场地光照度1000-2000勒克斯。</w:t>
            </w:r>
          </w:p>
          <w:p w14:paraId="08473364">
            <w:pPr>
              <w:pStyle w:val="4"/>
              <w:snapToGrid w:val="0"/>
              <w:ind w:left="210"/>
              <w:jc w:val="both"/>
              <w:rPr>
                <w:color w:val="auto"/>
                <w:highlight w:val="none"/>
              </w:rPr>
            </w:pPr>
            <w:r>
              <w:rPr>
                <w:rFonts w:hint="eastAsia"/>
                <w:color w:val="auto"/>
                <w:highlight w:val="none"/>
              </w:rPr>
              <w:t>2</w:t>
            </w:r>
            <w:r>
              <w:rPr>
                <w:rFonts w:hint="eastAsia"/>
                <w:color w:val="auto"/>
                <w:highlight w:val="none"/>
                <w:lang w:eastAsia="zh-CN"/>
              </w:rPr>
              <w:t>.</w:t>
            </w:r>
            <w:r>
              <w:rPr>
                <w:rFonts w:hint="eastAsia"/>
                <w:color w:val="auto"/>
                <w:highlight w:val="none"/>
              </w:rPr>
              <w:t>训练（热身）用房的内场面积应根据比赛规模配置1-2处面积不少于800厘米×800厘米、厚度3-5厘米软硬适度的软垫，软垫周围200厘米内无棱角突出的硬物。</w:t>
            </w:r>
          </w:p>
          <w:p w14:paraId="6FDB5C3C">
            <w:pPr>
              <w:pStyle w:val="4"/>
              <w:snapToGrid w:val="0"/>
              <w:ind w:left="210"/>
              <w:jc w:val="both"/>
              <w:rPr>
                <w:color w:val="auto"/>
                <w:highlight w:val="none"/>
              </w:rPr>
            </w:pPr>
            <w:r>
              <w:rPr>
                <w:rFonts w:hint="eastAsia"/>
                <w:color w:val="auto"/>
                <w:highlight w:val="none"/>
              </w:rPr>
              <w:t>3</w:t>
            </w:r>
            <w:r>
              <w:rPr>
                <w:rFonts w:hint="eastAsia"/>
                <w:color w:val="auto"/>
                <w:highlight w:val="none"/>
                <w:lang w:eastAsia="zh-CN"/>
              </w:rPr>
              <w:t>.</w:t>
            </w:r>
            <w:r>
              <w:rPr>
                <w:rFonts w:hint="eastAsia"/>
                <w:color w:val="auto"/>
                <w:highlight w:val="none"/>
              </w:rPr>
              <w:t>比赛场馆与训练场馆之间的步行距离超过50米的，须有摆渡车服务。</w:t>
            </w:r>
          </w:p>
          <w:p w14:paraId="693ECD63">
            <w:pPr>
              <w:pStyle w:val="4"/>
              <w:snapToGrid w:val="0"/>
              <w:ind w:left="210"/>
              <w:jc w:val="both"/>
              <w:rPr>
                <w:color w:val="auto"/>
                <w:highlight w:val="none"/>
              </w:rPr>
            </w:pPr>
            <w:r>
              <w:rPr>
                <w:rFonts w:hint="eastAsia"/>
                <w:color w:val="auto"/>
                <w:highlight w:val="none"/>
              </w:rPr>
              <w:t>4</w:t>
            </w:r>
            <w:r>
              <w:rPr>
                <w:rFonts w:hint="eastAsia"/>
                <w:color w:val="auto"/>
                <w:highlight w:val="none"/>
                <w:lang w:eastAsia="zh-CN"/>
              </w:rPr>
              <w:t>.</w:t>
            </w:r>
            <w:r>
              <w:rPr>
                <w:rFonts w:hint="eastAsia"/>
                <w:color w:val="auto"/>
                <w:highlight w:val="none"/>
              </w:rPr>
              <w:t>座席数量为3000左右。配有：</w:t>
            </w:r>
          </w:p>
          <w:p w14:paraId="6F5B3B0C">
            <w:pPr>
              <w:pStyle w:val="4"/>
              <w:snapToGrid w:val="0"/>
              <w:ind w:left="210"/>
              <w:jc w:val="both"/>
              <w:rPr>
                <w:color w:val="auto"/>
                <w:highlight w:val="none"/>
              </w:rPr>
            </w:pPr>
            <w:r>
              <w:rPr>
                <w:rFonts w:hint="eastAsia"/>
                <w:color w:val="auto"/>
                <w:highlight w:val="none"/>
              </w:rPr>
              <w:t>1.1 贵宾室。</w:t>
            </w:r>
          </w:p>
          <w:p w14:paraId="2A014A5C">
            <w:pPr>
              <w:pStyle w:val="4"/>
              <w:snapToGrid w:val="0"/>
              <w:ind w:left="210"/>
              <w:jc w:val="both"/>
              <w:rPr>
                <w:color w:val="auto"/>
                <w:highlight w:val="none"/>
              </w:rPr>
            </w:pPr>
            <w:r>
              <w:rPr>
                <w:rFonts w:hint="eastAsia"/>
                <w:color w:val="auto"/>
                <w:highlight w:val="none"/>
              </w:rPr>
              <w:t>1.2 裁判员休息（会议）室（可承纳60人）。</w:t>
            </w:r>
          </w:p>
          <w:p w14:paraId="268B0FFD">
            <w:pPr>
              <w:pStyle w:val="4"/>
              <w:snapToGrid w:val="0"/>
              <w:ind w:left="210"/>
              <w:jc w:val="both"/>
              <w:rPr>
                <w:color w:val="auto"/>
                <w:highlight w:val="none"/>
              </w:rPr>
            </w:pPr>
            <w:r>
              <w:rPr>
                <w:rFonts w:hint="eastAsia"/>
                <w:color w:val="auto"/>
                <w:highlight w:val="none"/>
              </w:rPr>
              <w:t>1.3 休息室（配有录像回放设备）。</w:t>
            </w:r>
          </w:p>
          <w:p w14:paraId="3243D9BE">
            <w:pPr>
              <w:pStyle w:val="4"/>
              <w:snapToGrid w:val="0"/>
              <w:ind w:left="210"/>
              <w:jc w:val="both"/>
              <w:rPr>
                <w:color w:val="auto"/>
                <w:highlight w:val="none"/>
              </w:rPr>
            </w:pPr>
            <w:r>
              <w:rPr>
                <w:rFonts w:hint="eastAsia"/>
                <w:color w:val="auto"/>
                <w:highlight w:val="none"/>
              </w:rPr>
              <w:t>1.4 竞赛工作室（配有电脑、打印机、复印机等设备）。</w:t>
            </w:r>
          </w:p>
          <w:p w14:paraId="036E1543">
            <w:pPr>
              <w:pStyle w:val="4"/>
              <w:snapToGrid w:val="0"/>
              <w:ind w:left="210"/>
              <w:jc w:val="both"/>
              <w:rPr>
                <w:color w:val="auto"/>
                <w:highlight w:val="none"/>
              </w:rPr>
            </w:pPr>
            <w:r>
              <w:rPr>
                <w:rFonts w:hint="eastAsia"/>
                <w:color w:val="auto"/>
                <w:highlight w:val="none"/>
              </w:rPr>
              <w:t xml:space="preserve">1.5 设备间（存放计分系统有关设备）。 </w:t>
            </w:r>
          </w:p>
          <w:p w14:paraId="4549993C">
            <w:pPr>
              <w:pStyle w:val="4"/>
              <w:snapToGrid w:val="0"/>
              <w:ind w:left="210"/>
              <w:jc w:val="both"/>
              <w:rPr>
                <w:color w:val="auto"/>
                <w:highlight w:val="none"/>
              </w:rPr>
            </w:pPr>
            <w:r>
              <w:rPr>
                <w:rFonts w:hint="eastAsia"/>
                <w:color w:val="auto"/>
                <w:highlight w:val="none"/>
              </w:rPr>
              <w:t>1.6 更衣室、卫生间：男、女各1-2间。</w:t>
            </w:r>
          </w:p>
          <w:p w14:paraId="5DF8479F">
            <w:pPr>
              <w:pStyle w:val="4"/>
              <w:snapToGrid w:val="0"/>
              <w:ind w:left="210"/>
              <w:jc w:val="both"/>
              <w:rPr>
                <w:color w:val="auto"/>
                <w:highlight w:val="none"/>
              </w:rPr>
            </w:pPr>
            <w:r>
              <w:rPr>
                <w:rFonts w:hint="eastAsia"/>
                <w:color w:val="auto"/>
                <w:highlight w:val="none"/>
              </w:rPr>
              <w:t>1.7 器材室（存放比赛护具和比赛用具）。</w:t>
            </w:r>
          </w:p>
          <w:p w14:paraId="03727EDF">
            <w:pPr>
              <w:pStyle w:val="4"/>
              <w:snapToGrid w:val="0"/>
              <w:ind w:left="210"/>
              <w:jc w:val="both"/>
              <w:rPr>
                <w:color w:val="auto"/>
                <w:highlight w:val="none"/>
              </w:rPr>
            </w:pPr>
            <w:r>
              <w:rPr>
                <w:rFonts w:hint="eastAsia"/>
                <w:color w:val="auto"/>
                <w:highlight w:val="none"/>
              </w:rPr>
              <w:t>1.8 医务室：需近赛场，空气流通较好，配有2个按摩床、2个氧气瓶及相关药物。</w:t>
            </w:r>
          </w:p>
          <w:p w14:paraId="090D6923">
            <w:pPr>
              <w:pStyle w:val="4"/>
              <w:snapToGrid w:val="0"/>
              <w:ind w:left="210"/>
              <w:jc w:val="both"/>
              <w:rPr>
                <w:color w:val="auto"/>
                <w:highlight w:val="none"/>
              </w:rPr>
            </w:pPr>
            <w:r>
              <w:rPr>
                <w:rFonts w:hint="eastAsia"/>
                <w:color w:val="auto"/>
                <w:highlight w:val="none"/>
              </w:rPr>
              <w:t>1.9 兴奋剂检测室：按体育总局有关要求配备。</w:t>
            </w:r>
          </w:p>
          <w:p w14:paraId="31F01E81">
            <w:pPr>
              <w:pStyle w:val="4"/>
              <w:snapToGrid w:val="0"/>
              <w:ind w:left="210"/>
              <w:jc w:val="both"/>
              <w:rPr>
                <w:color w:val="auto"/>
                <w:highlight w:val="none"/>
              </w:rPr>
            </w:pPr>
            <w:r>
              <w:rPr>
                <w:rFonts w:hint="eastAsia"/>
                <w:color w:val="auto"/>
                <w:highlight w:val="none"/>
              </w:rPr>
              <w:t>5.训练场馆与设施：无障碍空间不小于30米、宽22米、高8米或长42米、宽16米、高8米的训练馆，配备必要的功能设施。</w:t>
            </w:r>
          </w:p>
        </w:tc>
      </w:tr>
      <w:tr w14:paraId="1575FE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0" w:hRule="atLeast"/>
          <w:jc w:val="center"/>
        </w:trPr>
        <w:tc>
          <w:tcPr>
            <w:tcW w:w="1418" w:type="dxa"/>
            <w:vMerge w:val="restart"/>
            <w:noWrap w:val="0"/>
            <w:vAlign w:val="center"/>
          </w:tcPr>
          <w:p w14:paraId="0ED64B89">
            <w:pPr>
              <w:pStyle w:val="4"/>
              <w:snapToGrid w:val="0"/>
              <w:jc w:val="center"/>
              <w:rPr>
                <w:color w:val="auto"/>
                <w:highlight w:val="none"/>
              </w:rPr>
            </w:pPr>
            <w:r>
              <w:rPr>
                <w:rFonts w:hint="eastAsia"/>
                <w:color w:val="auto"/>
                <w:highlight w:val="none"/>
              </w:rPr>
              <w:t>赛事保障</w:t>
            </w:r>
          </w:p>
        </w:tc>
        <w:tc>
          <w:tcPr>
            <w:tcW w:w="1417" w:type="dxa"/>
            <w:noWrap w:val="0"/>
            <w:vAlign w:val="center"/>
          </w:tcPr>
          <w:p w14:paraId="07C560F7">
            <w:pPr>
              <w:pStyle w:val="4"/>
              <w:snapToGrid w:val="0"/>
              <w:jc w:val="center"/>
              <w:rPr>
                <w:color w:val="auto"/>
                <w:highlight w:val="none"/>
              </w:rPr>
            </w:pPr>
            <w:r>
              <w:rPr>
                <w:rFonts w:hint="eastAsia"/>
                <w:color w:val="auto"/>
                <w:highlight w:val="none"/>
              </w:rPr>
              <w:t>体育器材</w:t>
            </w:r>
          </w:p>
        </w:tc>
        <w:tc>
          <w:tcPr>
            <w:tcW w:w="6012" w:type="dxa"/>
            <w:noWrap w:val="0"/>
            <w:vAlign w:val="center"/>
          </w:tcPr>
          <w:p w14:paraId="723C649B">
            <w:pPr>
              <w:pStyle w:val="4"/>
              <w:snapToGrid w:val="0"/>
              <w:jc w:val="both"/>
              <w:rPr>
                <w:color w:val="auto"/>
                <w:highlight w:val="none"/>
              </w:rPr>
            </w:pPr>
            <w:r>
              <w:rPr>
                <w:rFonts w:hint="eastAsia"/>
                <w:color w:val="auto"/>
                <w:highlight w:val="none"/>
              </w:rPr>
              <w:t>标准自由搏击围绳擂台2个、榻榻米比赛垫2块。</w:t>
            </w:r>
          </w:p>
        </w:tc>
      </w:tr>
      <w:tr w14:paraId="152996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0" w:hRule="atLeast"/>
          <w:jc w:val="center"/>
        </w:trPr>
        <w:tc>
          <w:tcPr>
            <w:tcW w:w="1418" w:type="dxa"/>
            <w:vMerge w:val="continue"/>
            <w:noWrap w:val="0"/>
            <w:vAlign w:val="center"/>
          </w:tcPr>
          <w:p w14:paraId="147A84E5">
            <w:pPr>
              <w:adjustRightInd w:val="0"/>
              <w:snapToGrid w:val="0"/>
              <w:jc w:val="center"/>
              <w:rPr>
                <w:color w:val="auto"/>
                <w:highlight w:val="none"/>
              </w:rPr>
            </w:pPr>
          </w:p>
        </w:tc>
        <w:tc>
          <w:tcPr>
            <w:tcW w:w="1417" w:type="dxa"/>
            <w:noWrap w:val="0"/>
            <w:vAlign w:val="center"/>
          </w:tcPr>
          <w:p w14:paraId="3E139EA5">
            <w:pPr>
              <w:pStyle w:val="4"/>
              <w:snapToGrid w:val="0"/>
              <w:jc w:val="center"/>
              <w:rPr>
                <w:color w:val="auto"/>
                <w:highlight w:val="none"/>
              </w:rPr>
            </w:pPr>
            <w:r>
              <w:rPr>
                <w:rFonts w:hint="eastAsia"/>
                <w:color w:val="auto"/>
                <w:highlight w:val="none"/>
              </w:rPr>
              <w:t>计分系统</w:t>
            </w:r>
          </w:p>
        </w:tc>
        <w:tc>
          <w:tcPr>
            <w:tcW w:w="6012" w:type="dxa"/>
            <w:noWrap w:val="0"/>
            <w:vAlign w:val="center"/>
          </w:tcPr>
          <w:p w14:paraId="2B5826AE">
            <w:pPr>
              <w:pStyle w:val="4"/>
              <w:snapToGrid w:val="0"/>
              <w:jc w:val="both"/>
              <w:rPr>
                <w:color w:val="auto"/>
                <w:highlight w:val="none"/>
              </w:rPr>
            </w:pPr>
            <w:r>
              <w:rPr>
                <w:rFonts w:hint="eastAsia"/>
                <w:color w:val="auto"/>
                <w:highlight w:val="none"/>
              </w:rPr>
              <w:t>自由搏击比赛电子计分系统2套。</w:t>
            </w:r>
          </w:p>
        </w:tc>
      </w:tr>
      <w:tr w14:paraId="59C1BF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15" w:hRule="atLeast"/>
          <w:jc w:val="center"/>
        </w:trPr>
        <w:tc>
          <w:tcPr>
            <w:tcW w:w="1418" w:type="dxa"/>
            <w:vMerge w:val="continue"/>
            <w:noWrap w:val="0"/>
            <w:vAlign w:val="center"/>
          </w:tcPr>
          <w:p w14:paraId="33B2BF50">
            <w:pPr>
              <w:adjustRightInd w:val="0"/>
              <w:snapToGrid w:val="0"/>
              <w:jc w:val="center"/>
              <w:rPr>
                <w:color w:val="auto"/>
                <w:highlight w:val="none"/>
              </w:rPr>
            </w:pPr>
          </w:p>
        </w:tc>
        <w:tc>
          <w:tcPr>
            <w:tcW w:w="1417" w:type="dxa"/>
            <w:noWrap w:val="0"/>
            <w:vAlign w:val="center"/>
          </w:tcPr>
          <w:p w14:paraId="28711CD2">
            <w:pPr>
              <w:pStyle w:val="4"/>
              <w:snapToGrid w:val="0"/>
              <w:jc w:val="center"/>
              <w:rPr>
                <w:color w:val="auto"/>
                <w:highlight w:val="none"/>
              </w:rPr>
            </w:pPr>
            <w:r>
              <w:rPr>
                <w:rFonts w:hint="eastAsia"/>
                <w:color w:val="auto"/>
                <w:highlight w:val="none"/>
              </w:rPr>
              <w:t>住宿餐饮</w:t>
            </w:r>
          </w:p>
        </w:tc>
        <w:tc>
          <w:tcPr>
            <w:tcW w:w="6012" w:type="dxa"/>
            <w:noWrap w:val="0"/>
            <w:vAlign w:val="center"/>
          </w:tcPr>
          <w:p w14:paraId="31E5E4BE">
            <w:pPr>
              <w:pStyle w:val="4"/>
              <w:snapToGrid w:val="0"/>
              <w:jc w:val="both"/>
              <w:rPr>
                <w:color w:val="auto"/>
                <w:highlight w:val="none"/>
              </w:rPr>
            </w:pPr>
            <w:r>
              <w:rPr>
                <w:rFonts w:hint="eastAsia"/>
                <w:color w:val="auto"/>
                <w:highlight w:val="none"/>
              </w:rPr>
              <w:t>官方指定酒店距离比赛场馆不能超过20分钟车程。</w:t>
            </w:r>
          </w:p>
          <w:p w14:paraId="77BBC294">
            <w:pPr>
              <w:pStyle w:val="4"/>
              <w:snapToGrid w:val="0"/>
              <w:jc w:val="both"/>
              <w:rPr>
                <w:color w:val="auto"/>
                <w:highlight w:val="none"/>
              </w:rPr>
            </w:pPr>
            <w:r>
              <w:rPr>
                <w:rFonts w:hint="eastAsia"/>
                <w:color w:val="auto"/>
                <w:highlight w:val="none"/>
              </w:rPr>
              <w:t>1</w:t>
            </w:r>
            <w:r>
              <w:rPr>
                <w:rFonts w:hint="eastAsia"/>
                <w:color w:val="auto"/>
                <w:highlight w:val="none"/>
                <w:lang w:eastAsia="zh-CN"/>
              </w:rPr>
              <w:t>.</w:t>
            </w:r>
            <w:r>
              <w:rPr>
                <w:rFonts w:hint="eastAsia"/>
                <w:color w:val="auto"/>
                <w:highlight w:val="none"/>
              </w:rPr>
              <w:t>运动队</w:t>
            </w:r>
          </w:p>
          <w:p w14:paraId="7C981C9E">
            <w:pPr>
              <w:pStyle w:val="4"/>
              <w:snapToGrid w:val="0"/>
              <w:ind w:left="284"/>
              <w:jc w:val="both"/>
              <w:rPr>
                <w:color w:val="auto"/>
                <w:highlight w:val="none"/>
              </w:rPr>
            </w:pPr>
            <w:r>
              <w:rPr>
                <w:rFonts w:hint="eastAsia"/>
                <w:color w:val="auto"/>
                <w:highlight w:val="none"/>
              </w:rPr>
              <w:t xml:space="preserve">1.1住宿：双人标间。干净卫生，明亮宽敞，安全舒适，房间内有独立卫生间和24小时热水。  </w:t>
            </w:r>
          </w:p>
          <w:p w14:paraId="29031148">
            <w:pPr>
              <w:pStyle w:val="4"/>
              <w:snapToGrid w:val="0"/>
              <w:ind w:left="284"/>
              <w:jc w:val="both"/>
              <w:rPr>
                <w:color w:val="auto"/>
                <w:highlight w:val="none"/>
              </w:rPr>
            </w:pPr>
            <w:r>
              <w:rPr>
                <w:rFonts w:hint="eastAsia"/>
                <w:color w:val="auto"/>
                <w:highlight w:val="none"/>
              </w:rPr>
              <w:t>1.2 餐饮：按照国家体委、财政部、商业部《关于下发优秀运动员、专职教练员和其他人员伙食费标准规定的通知》（（85）体计计字464号）中的实物标准，并根据当地物价水平按照承办单位所在省市的优秀运动队伙食标准上浮30%-50%。</w:t>
            </w:r>
          </w:p>
          <w:p w14:paraId="1A7A2FE0">
            <w:pPr>
              <w:pStyle w:val="4"/>
              <w:snapToGrid w:val="0"/>
              <w:jc w:val="both"/>
              <w:rPr>
                <w:color w:val="auto"/>
                <w:highlight w:val="none"/>
              </w:rPr>
            </w:pPr>
            <w:r>
              <w:rPr>
                <w:rFonts w:hint="eastAsia"/>
                <w:color w:val="auto"/>
                <w:highlight w:val="none"/>
              </w:rPr>
              <w:t>2</w:t>
            </w:r>
            <w:r>
              <w:rPr>
                <w:rFonts w:hint="eastAsia"/>
                <w:color w:val="auto"/>
                <w:highlight w:val="none"/>
                <w:lang w:eastAsia="zh-CN"/>
              </w:rPr>
              <w:t>.</w:t>
            </w:r>
            <w:r>
              <w:rPr>
                <w:rFonts w:hint="eastAsia"/>
                <w:color w:val="auto"/>
                <w:highlight w:val="none"/>
              </w:rPr>
              <w:t>技术官员与竞赛管理人员</w:t>
            </w:r>
          </w:p>
          <w:p w14:paraId="5994C03D">
            <w:pPr>
              <w:pStyle w:val="4"/>
              <w:snapToGrid w:val="0"/>
              <w:ind w:firstLine="240"/>
              <w:jc w:val="both"/>
              <w:rPr>
                <w:color w:val="auto"/>
                <w:highlight w:val="none"/>
              </w:rPr>
            </w:pPr>
            <w:r>
              <w:rPr>
                <w:rFonts w:hint="eastAsia"/>
                <w:color w:val="auto"/>
                <w:highlight w:val="none"/>
              </w:rPr>
              <w:t>住宿与餐饮要求同运动队。</w:t>
            </w:r>
          </w:p>
        </w:tc>
      </w:tr>
      <w:tr w14:paraId="7293F5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038" w:hRule="atLeast"/>
          <w:jc w:val="center"/>
        </w:trPr>
        <w:tc>
          <w:tcPr>
            <w:tcW w:w="1418" w:type="dxa"/>
            <w:vMerge w:val="continue"/>
            <w:noWrap w:val="0"/>
            <w:vAlign w:val="center"/>
          </w:tcPr>
          <w:p w14:paraId="35E088A7">
            <w:pPr>
              <w:adjustRightInd w:val="0"/>
              <w:snapToGrid w:val="0"/>
              <w:jc w:val="center"/>
              <w:rPr>
                <w:color w:val="auto"/>
                <w:highlight w:val="none"/>
              </w:rPr>
            </w:pPr>
          </w:p>
        </w:tc>
        <w:tc>
          <w:tcPr>
            <w:tcW w:w="1417" w:type="dxa"/>
            <w:noWrap w:val="0"/>
            <w:vAlign w:val="center"/>
          </w:tcPr>
          <w:p w14:paraId="1AB96523">
            <w:pPr>
              <w:pStyle w:val="4"/>
              <w:snapToGrid w:val="0"/>
              <w:jc w:val="center"/>
              <w:rPr>
                <w:color w:val="auto"/>
                <w:highlight w:val="none"/>
              </w:rPr>
            </w:pPr>
            <w:r>
              <w:rPr>
                <w:rFonts w:hint="eastAsia"/>
                <w:color w:val="auto"/>
                <w:highlight w:val="none"/>
              </w:rPr>
              <w:t>交通服务</w:t>
            </w:r>
          </w:p>
        </w:tc>
        <w:tc>
          <w:tcPr>
            <w:tcW w:w="6012" w:type="dxa"/>
            <w:noWrap w:val="0"/>
            <w:vAlign w:val="center"/>
          </w:tcPr>
          <w:p w14:paraId="29C94FD9">
            <w:pPr>
              <w:pStyle w:val="4"/>
              <w:snapToGrid w:val="0"/>
              <w:jc w:val="both"/>
              <w:rPr>
                <w:color w:val="auto"/>
                <w:highlight w:val="none"/>
              </w:rPr>
            </w:pPr>
            <w:r>
              <w:rPr>
                <w:rFonts w:hint="eastAsia"/>
                <w:color w:val="auto"/>
                <w:highlight w:val="none"/>
              </w:rPr>
              <w:t>1</w:t>
            </w:r>
            <w:r>
              <w:rPr>
                <w:rFonts w:hint="eastAsia"/>
                <w:color w:val="auto"/>
                <w:highlight w:val="none"/>
                <w:lang w:eastAsia="zh-CN"/>
              </w:rPr>
              <w:t>.</w:t>
            </w:r>
            <w:r>
              <w:rPr>
                <w:rFonts w:hint="eastAsia"/>
                <w:color w:val="auto"/>
                <w:highlight w:val="none"/>
              </w:rPr>
              <w:t>运动队</w:t>
            </w:r>
          </w:p>
          <w:p w14:paraId="2794C90F">
            <w:pPr>
              <w:pStyle w:val="4"/>
              <w:snapToGrid w:val="0"/>
              <w:ind w:firstLine="240"/>
              <w:jc w:val="both"/>
              <w:rPr>
                <w:color w:val="auto"/>
                <w:highlight w:val="none"/>
              </w:rPr>
            </w:pPr>
            <w:r>
              <w:rPr>
                <w:rFonts w:hint="eastAsia"/>
                <w:color w:val="auto"/>
                <w:highlight w:val="none"/>
              </w:rPr>
              <w:t>提供运动队往返赛区抵离地点与官方指定酒店、官方指定酒店与比赛和训练场馆之间的交通服务。收费标准按组委会有关规定执行。</w:t>
            </w:r>
          </w:p>
          <w:p w14:paraId="6F4F20DE">
            <w:pPr>
              <w:pStyle w:val="4"/>
              <w:snapToGrid w:val="0"/>
              <w:jc w:val="both"/>
              <w:rPr>
                <w:color w:val="auto"/>
                <w:highlight w:val="none"/>
              </w:rPr>
            </w:pPr>
            <w:r>
              <w:rPr>
                <w:rFonts w:hint="eastAsia"/>
                <w:color w:val="auto"/>
                <w:highlight w:val="none"/>
              </w:rPr>
              <w:t>2</w:t>
            </w:r>
            <w:r>
              <w:rPr>
                <w:rFonts w:hint="eastAsia"/>
                <w:color w:val="auto"/>
                <w:highlight w:val="none"/>
                <w:lang w:eastAsia="zh-CN"/>
              </w:rPr>
              <w:t>.</w:t>
            </w:r>
            <w:r>
              <w:rPr>
                <w:rFonts w:hint="eastAsia"/>
                <w:color w:val="auto"/>
                <w:highlight w:val="none"/>
              </w:rPr>
              <w:t>技术官员与竞赛管理人员</w:t>
            </w:r>
          </w:p>
          <w:p w14:paraId="57CC6776">
            <w:pPr>
              <w:pStyle w:val="4"/>
              <w:snapToGrid w:val="0"/>
              <w:ind w:firstLine="240"/>
              <w:jc w:val="both"/>
              <w:rPr>
                <w:color w:val="auto"/>
                <w:highlight w:val="none"/>
              </w:rPr>
            </w:pPr>
            <w:r>
              <w:rPr>
                <w:rFonts w:hint="eastAsia"/>
                <w:color w:val="auto"/>
                <w:highlight w:val="none"/>
              </w:rPr>
              <w:t>提供技术官员与竞赛管理人员往返官方指定酒店与比赛和训练场馆之间的交通服务。车辆需求如下：</w:t>
            </w:r>
          </w:p>
          <w:p w14:paraId="2DC1F6CC">
            <w:pPr>
              <w:pStyle w:val="4"/>
              <w:snapToGrid w:val="0"/>
              <w:ind w:firstLine="240"/>
              <w:jc w:val="both"/>
              <w:rPr>
                <w:color w:val="auto"/>
                <w:highlight w:val="none"/>
              </w:rPr>
            </w:pPr>
            <w:r>
              <w:rPr>
                <w:rFonts w:hint="eastAsia"/>
                <w:color w:val="auto"/>
                <w:highlight w:val="none"/>
              </w:rPr>
              <w:t>2</w:t>
            </w:r>
            <w:r>
              <w:rPr>
                <w:rFonts w:hint="eastAsia"/>
                <w:color w:val="auto"/>
                <w:highlight w:val="none"/>
                <w:lang w:eastAsia="zh-CN"/>
              </w:rPr>
              <w:t>.</w:t>
            </w:r>
            <w:r>
              <w:rPr>
                <w:rFonts w:hint="eastAsia"/>
                <w:color w:val="auto"/>
                <w:highlight w:val="none"/>
              </w:rPr>
              <w:t>1</w:t>
            </w:r>
            <w:r>
              <w:rPr>
                <w:rFonts w:hint="eastAsia"/>
                <w:color w:val="auto"/>
                <w:highlight w:val="none"/>
                <w:lang w:val="en-US" w:eastAsia="zh-CN"/>
              </w:rPr>
              <w:t>纠纷委员会：</w:t>
            </w:r>
            <w:r>
              <w:rPr>
                <w:rFonts w:hint="eastAsia"/>
                <w:color w:val="auto"/>
                <w:highlight w:val="none"/>
              </w:rPr>
              <w:t>1辆（3人）。</w:t>
            </w:r>
          </w:p>
          <w:p w14:paraId="1FCCFCC1">
            <w:pPr>
              <w:pStyle w:val="4"/>
              <w:snapToGrid w:val="0"/>
              <w:ind w:firstLine="240"/>
              <w:jc w:val="both"/>
              <w:rPr>
                <w:color w:val="auto"/>
                <w:highlight w:val="none"/>
              </w:rPr>
            </w:pPr>
            <w:r>
              <w:rPr>
                <w:rFonts w:hint="eastAsia"/>
                <w:color w:val="auto"/>
                <w:highlight w:val="none"/>
              </w:rPr>
              <w:t>2.2裁判员：1辆（25-50人）。</w:t>
            </w:r>
          </w:p>
          <w:p w14:paraId="2B0ED715">
            <w:pPr>
              <w:pStyle w:val="4"/>
              <w:snapToGrid w:val="0"/>
              <w:ind w:firstLine="240"/>
              <w:jc w:val="both"/>
              <w:rPr>
                <w:color w:val="auto"/>
                <w:highlight w:val="none"/>
              </w:rPr>
            </w:pPr>
            <w:r>
              <w:rPr>
                <w:rFonts w:hint="eastAsia"/>
                <w:color w:val="auto"/>
                <w:highlight w:val="none"/>
              </w:rPr>
              <w:t>2.3电子裁判：1辆（3人）。</w:t>
            </w:r>
          </w:p>
          <w:p w14:paraId="7A2C2866">
            <w:pPr>
              <w:pStyle w:val="4"/>
              <w:snapToGrid w:val="0"/>
              <w:ind w:firstLine="240"/>
              <w:jc w:val="both"/>
              <w:rPr>
                <w:color w:val="auto"/>
                <w:highlight w:val="none"/>
              </w:rPr>
            </w:pPr>
            <w:r>
              <w:rPr>
                <w:rFonts w:hint="eastAsia"/>
                <w:color w:val="auto"/>
                <w:highlight w:val="none"/>
              </w:rPr>
              <w:t>2.4竞赛编排：1辆（4人）。</w:t>
            </w:r>
          </w:p>
          <w:p w14:paraId="6A66DF9D">
            <w:pPr>
              <w:pStyle w:val="4"/>
              <w:snapToGrid w:val="0"/>
              <w:ind w:firstLine="240"/>
              <w:jc w:val="both"/>
              <w:rPr>
                <w:color w:val="auto"/>
                <w:highlight w:val="none"/>
              </w:rPr>
            </w:pPr>
            <w:r>
              <w:rPr>
                <w:rFonts w:hint="eastAsia"/>
                <w:color w:val="auto"/>
                <w:highlight w:val="none"/>
              </w:rPr>
              <w:t>2.5检录：1辆（5人）。</w:t>
            </w:r>
          </w:p>
          <w:p w14:paraId="015CD205">
            <w:pPr>
              <w:pStyle w:val="4"/>
              <w:snapToGrid w:val="0"/>
              <w:ind w:firstLine="240"/>
              <w:jc w:val="both"/>
              <w:rPr>
                <w:color w:val="auto"/>
                <w:highlight w:val="none"/>
              </w:rPr>
            </w:pPr>
            <w:r>
              <w:rPr>
                <w:rFonts w:hint="eastAsia"/>
                <w:color w:val="auto"/>
                <w:highlight w:val="none"/>
              </w:rPr>
              <w:t>2.6竞赛管理人员：7座商务车1辆。</w:t>
            </w:r>
          </w:p>
        </w:tc>
      </w:tr>
      <w:tr w14:paraId="413E6C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1418" w:type="dxa"/>
            <w:vMerge w:val="continue"/>
            <w:noWrap w:val="0"/>
            <w:vAlign w:val="center"/>
          </w:tcPr>
          <w:p w14:paraId="6A33D7DB">
            <w:pPr>
              <w:adjustRightInd w:val="0"/>
              <w:snapToGrid w:val="0"/>
              <w:jc w:val="center"/>
              <w:rPr>
                <w:color w:val="auto"/>
                <w:highlight w:val="none"/>
              </w:rPr>
            </w:pPr>
          </w:p>
        </w:tc>
        <w:tc>
          <w:tcPr>
            <w:tcW w:w="1417" w:type="dxa"/>
            <w:noWrap w:val="0"/>
            <w:vAlign w:val="center"/>
          </w:tcPr>
          <w:p w14:paraId="4426221D">
            <w:pPr>
              <w:pStyle w:val="4"/>
              <w:snapToGrid w:val="0"/>
              <w:jc w:val="center"/>
              <w:rPr>
                <w:color w:val="auto"/>
                <w:highlight w:val="none"/>
              </w:rPr>
            </w:pPr>
            <w:r>
              <w:rPr>
                <w:rFonts w:hint="eastAsia"/>
                <w:color w:val="auto"/>
                <w:highlight w:val="none"/>
              </w:rPr>
              <w:t>食品监督</w:t>
            </w:r>
          </w:p>
        </w:tc>
        <w:tc>
          <w:tcPr>
            <w:tcW w:w="6012" w:type="dxa"/>
            <w:noWrap w:val="0"/>
            <w:vAlign w:val="center"/>
          </w:tcPr>
          <w:p w14:paraId="42367F8D">
            <w:pPr>
              <w:pStyle w:val="4"/>
              <w:snapToGrid w:val="0"/>
              <w:ind w:left="240" w:hanging="240"/>
              <w:jc w:val="both"/>
              <w:rPr>
                <w:color w:val="auto"/>
                <w:highlight w:val="none"/>
              </w:rPr>
            </w:pPr>
            <w:r>
              <w:rPr>
                <w:rFonts w:hint="eastAsia"/>
                <w:color w:val="auto"/>
                <w:highlight w:val="none"/>
              </w:rPr>
              <w:t>1</w:t>
            </w:r>
            <w:r>
              <w:rPr>
                <w:rFonts w:hint="eastAsia"/>
                <w:color w:val="auto"/>
                <w:highlight w:val="none"/>
                <w:lang w:eastAsia="zh-CN"/>
              </w:rPr>
              <w:t>.</w:t>
            </w:r>
            <w:r>
              <w:rPr>
                <w:rFonts w:hint="eastAsia"/>
                <w:color w:val="auto"/>
                <w:highlight w:val="none"/>
              </w:rPr>
              <w:t xml:space="preserve">负责官方指定酒店食品卫生监督。 </w:t>
            </w:r>
          </w:p>
          <w:p w14:paraId="3B24041D">
            <w:pPr>
              <w:pStyle w:val="4"/>
              <w:snapToGrid w:val="0"/>
              <w:ind w:left="240" w:hanging="240"/>
              <w:jc w:val="both"/>
              <w:rPr>
                <w:color w:val="auto"/>
                <w:highlight w:val="none"/>
              </w:rPr>
            </w:pPr>
            <w:r>
              <w:rPr>
                <w:rFonts w:hint="eastAsia"/>
                <w:color w:val="auto"/>
                <w:highlight w:val="none"/>
              </w:rPr>
              <w:t>2</w:t>
            </w:r>
            <w:r>
              <w:rPr>
                <w:rFonts w:hint="eastAsia"/>
                <w:color w:val="auto"/>
                <w:highlight w:val="none"/>
                <w:lang w:eastAsia="zh-CN"/>
              </w:rPr>
              <w:t>.</w:t>
            </w:r>
            <w:r>
              <w:rPr>
                <w:rFonts w:hint="eastAsia"/>
                <w:color w:val="auto"/>
                <w:highlight w:val="none"/>
              </w:rPr>
              <w:t xml:space="preserve">负责对运动员食品供应和采购渠道的监督，防止食源性兴奋剂问题的发生。 </w:t>
            </w:r>
          </w:p>
        </w:tc>
      </w:tr>
      <w:tr w14:paraId="59DD98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1" w:hRule="atLeast"/>
          <w:jc w:val="center"/>
        </w:trPr>
        <w:tc>
          <w:tcPr>
            <w:tcW w:w="1418" w:type="dxa"/>
            <w:vMerge w:val="continue"/>
            <w:noWrap w:val="0"/>
            <w:vAlign w:val="center"/>
          </w:tcPr>
          <w:p w14:paraId="30A000D4">
            <w:pPr>
              <w:adjustRightInd w:val="0"/>
              <w:snapToGrid w:val="0"/>
              <w:jc w:val="center"/>
              <w:rPr>
                <w:color w:val="auto"/>
                <w:highlight w:val="none"/>
              </w:rPr>
            </w:pPr>
          </w:p>
        </w:tc>
        <w:tc>
          <w:tcPr>
            <w:tcW w:w="1417" w:type="dxa"/>
            <w:noWrap w:val="0"/>
            <w:vAlign w:val="center"/>
          </w:tcPr>
          <w:p w14:paraId="50234533">
            <w:pPr>
              <w:pStyle w:val="4"/>
              <w:snapToGrid w:val="0"/>
              <w:jc w:val="center"/>
              <w:rPr>
                <w:color w:val="auto"/>
                <w:highlight w:val="none"/>
              </w:rPr>
            </w:pPr>
            <w:r>
              <w:rPr>
                <w:rFonts w:hint="eastAsia"/>
                <w:color w:val="auto"/>
                <w:highlight w:val="none"/>
              </w:rPr>
              <w:t>安全保卫</w:t>
            </w:r>
          </w:p>
        </w:tc>
        <w:tc>
          <w:tcPr>
            <w:tcW w:w="6012" w:type="dxa"/>
            <w:noWrap w:val="0"/>
            <w:vAlign w:val="center"/>
          </w:tcPr>
          <w:p w14:paraId="2096C16B">
            <w:pPr>
              <w:pStyle w:val="4"/>
              <w:snapToGrid w:val="0"/>
              <w:jc w:val="both"/>
              <w:rPr>
                <w:color w:val="auto"/>
                <w:highlight w:val="none"/>
              </w:rPr>
            </w:pPr>
            <w:r>
              <w:rPr>
                <w:rFonts w:hint="eastAsia"/>
                <w:color w:val="auto"/>
                <w:highlight w:val="none"/>
              </w:rPr>
              <w:t>1</w:t>
            </w:r>
            <w:r>
              <w:rPr>
                <w:rFonts w:hint="eastAsia"/>
                <w:color w:val="auto"/>
                <w:highlight w:val="none"/>
                <w:lang w:eastAsia="zh-CN"/>
              </w:rPr>
              <w:t>.</w:t>
            </w:r>
            <w:r>
              <w:rPr>
                <w:rFonts w:hint="eastAsia"/>
                <w:color w:val="auto"/>
                <w:highlight w:val="none"/>
              </w:rPr>
              <w:t>维护比赛场地竞赛秩序。</w:t>
            </w:r>
          </w:p>
          <w:p w14:paraId="0F6AC062">
            <w:pPr>
              <w:pStyle w:val="4"/>
              <w:snapToGrid w:val="0"/>
              <w:jc w:val="both"/>
              <w:rPr>
                <w:color w:val="auto"/>
                <w:highlight w:val="none"/>
              </w:rPr>
            </w:pPr>
            <w:r>
              <w:rPr>
                <w:color w:val="auto"/>
                <w:highlight w:val="none"/>
              </w:rPr>
              <w:t>2</w:t>
            </w:r>
            <w:r>
              <w:rPr>
                <w:rFonts w:hint="eastAsia"/>
                <w:color w:val="auto"/>
                <w:highlight w:val="none"/>
                <w:lang w:eastAsia="zh-CN"/>
              </w:rPr>
              <w:t>.</w:t>
            </w:r>
            <w:r>
              <w:rPr>
                <w:rFonts w:hint="eastAsia"/>
                <w:color w:val="auto"/>
                <w:highlight w:val="none"/>
              </w:rPr>
              <w:t>负责场馆和官方指定酒店的安全保卫工作。</w:t>
            </w:r>
          </w:p>
        </w:tc>
      </w:tr>
      <w:tr w14:paraId="01DF85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34" w:hRule="atLeast"/>
          <w:jc w:val="center"/>
        </w:trPr>
        <w:tc>
          <w:tcPr>
            <w:tcW w:w="1418" w:type="dxa"/>
            <w:noWrap w:val="0"/>
            <w:vAlign w:val="center"/>
          </w:tcPr>
          <w:p w14:paraId="745F0F98">
            <w:pPr>
              <w:pStyle w:val="4"/>
              <w:snapToGrid w:val="0"/>
              <w:jc w:val="center"/>
              <w:rPr>
                <w:color w:val="auto"/>
                <w:highlight w:val="none"/>
              </w:rPr>
            </w:pPr>
            <w:r>
              <w:rPr>
                <w:rFonts w:hint="eastAsia"/>
                <w:color w:val="auto"/>
                <w:highlight w:val="none"/>
              </w:rPr>
              <w:t>赛事保障</w:t>
            </w:r>
          </w:p>
        </w:tc>
        <w:tc>
          <w:tcPr>
            <w:tcW w:w="1417" w:type="dxa"/>
            <w:noWrap w:val="0"/>
            <w:vAlign w:val="center"/>
          </w:tcPr>
          <w:p w14:paraId="165C660F">
            <w:pPr>
              <w:pStyle w:val="4"/>
              <w:snapToGrid w:val="0"/>
              <w:jc w:val="center"/>
              <w:rPr>
                <w:color w:val="auto"/>
                <w:highlight w:val="none"/>
              </w:rPr>
            </w:pPr>
            <w:r>
              <w:rPr>
                <w:rFonts w:hint="eastAsia"/>
                <w:color w:val="auto"/>
                <w:highlight w:val="none"/>
              </w:rPr>
              <w:t>医疗服务</w:t>
            </w:r>
          </w:p>
        </w:tc>
        <w:tc>
          <w:tcPr>
            <w:tcW w:w="6012" w:type="dxa"/>
            <w:noWrap w:val="0"/>
            <w:vAlign w:val="top"/>
          </w:tcPr>
          <w:p w14:paraId="203E00D5">
            <w:pPr>
              <w:pStyle w:val="4"/>
              <w:snapToGrid w:val="0"/>
              <w:jc w:val="both"/>
              <w:rPr>
                <w:color w:val="auto"/>
                <w:highlight w:val="none"/>
              </w:rPr>
            </w:pPr>
            <w:r>
              <w:rPr>
                <w:rFonts w:hint="eastAsia"/>
                <w:color w:val="auto"/>
                <w:highlight w:val="none"/>
              </w:rPr>
              <w:t>1</w:t>
            </w:r>
            <w:r>
              <w:rPr>
                <w:rFonts w:hint="eastAsia"/>
                <w:color w:val="auto"/>
                <w:highlight w:val="none"/>
                <w:lang w:eastAsia="zh-CN"/>
              </w:rPr>
              <w:t>.</w:t>
            </w:r>
            <w:r>
              <w:rPr>
                <w:rFonts w:hint="eastAsia"/>
                <w:color w:val="auto"/>
                <w:highlight w:val="none"/>
              </w:rPr>
              <w:t>场馆（赛时）：</w:t>
            </w:r>
          </w:p>
          <w:p w14:paraId="6885A21A">
            <w:pPr>
              <w:pStyle w:val="4"/>
              <w:snapToGrid w:val="0"/>
              <w:ind w:left="284"/>
              <w:jc w:val="both"/>
              <w:rPr>
                <w:color w:val="auto"/>
                <w:highlight w:val="none"/>
              </w:rPr>
            </w:pPr>
            <w:r>
              <w:rPr>
                <w:rFonts w:hint="eastAsia"/>
                <w:color w:val="auto"/>
                <w:highlight w:val="none"/>
              </w:rPr>
              <w:t>1.1 内、外科和急诊科临床医生各1名。</w:t>
            </w:r>
          </w:p>
          <w:p w14:paraId="4EBDB151">
            <w:pPr>
              <w:pStyle w:val="4"/>
              <w:snapToGrid w:val="0"/>
              <w:ind w:left="284"/>
              <w:jc w:val="both"/>
              <w:rPr>
                <w:color w:val="auto"/>
                <w:highlight w:val="none"/>
              </w:rPr>
            </w:pPr>
            <w:r>
              <w:rPr>
                <w:rFonts w:hint="eastAsia"/>
                <w:color w:val="auto"/>
                <w:highlight w:val="none"/>
              </w:rPr>
              <w:t>1.2 配备有生命支持系统的救护车2辆。</w:t>
            </w:r>
          </w:p>
          <w:p w14:paraId="00FEE049">
            <w:pPr>
              <w:pStyle w:val="4"/>
              <w:snapToGrid w:val="0"/>
              <w:ind w:left="284"/>
              <w:jc w:val="both"/>
              <w:rPr>
                <w:color w:val="auto"/>
                <w:highlight w:val="none"/>
              </w:rPr>
            </w:pPr>
            <w:r>
              <w:rPr>
                <w:rFonts w:hint="eastAsia"/>
                <w:color w:val="auto"/>
                <w:highlight w:val="none"/>
              </w:rPr>
              <w:t>1.3 配备必要的医疗急救药品和器材：脊柱或铲式担架2副、除颤仪及其它心脏与呼吸复苏设备与药物、四肢及脊柱的固定保护支架、急救箱及纱布和绷带等外包扎和止血用品若干。</w:t>
            </w:r>
          </w:p>
          <w:p w14:paraId="5295993A">
            <w:pPr>
              <w:pStyle w:val="4"/>
              <w:snapToGrid w:val="0"/>
              <w:jc w:val="both"/>
              <w:rPr>
                <w:color w:val="auto"/>
                <w:highlight w:val="none"/>
              </w:rPr>
            </w:pPr>
            <w:r>
              <w:rPr>
                <w:rFonts w:hint="eastAsia"/>
                <w:color w:val="auto"/>
                <w:highlight w:val="none"/>
              </w:rPr>
              <w:t>2</w:t>
            </w:r>
            <w:r>
              <w:rPr>
                <w:rFonts w:hint="eastAsia"/>
                <w:color w:val="auto"/>
                <w:highlight w:val="none"/>
                <w:lang w:eastAsia="zh-CN"/>
              </w:rPr>
              <w:t>.</w:t>
            </w:r>
            <w:r>
              <w:rPr>
                <w:rFonts w:hint="eastAsia"/>
                <w:color w:val="auto"/>
                <w:highlight w:val="none"/>
              </w:rPr>
              <w:t>官方指定酒店：</w:t>
            </w:r>
          </w:p>
          <w:p w14:paraId="39B85D9E">
            <w:pPr>
              <w:pStyle w:val="4"/>
              <w:snapToGrid w:val="0"/>
              <w:ind w:left="284"/>
              <w:jc w:val="both"/>
              <w:rPr>
                <w:color w:val="auto"/>
                <w:highlight w:val="none"/>
              </w:rPr>
            </w:pPr>
            <w:r>
              <w:rPr>
                <w:rFonts w:hint="eastAsia"/>
                <w:color w:val="auto"/>
                <w:highlight w:val="none"/>
              </w:rPr>
              <w:t>2.1 各酒店进驻内科临床医生1名。</w:t>
            </w:r>
          </w:p>
          <w:p w14:paraId="057FE399">
            <w:pPr>
              <w:pStyle w:val="4"/>
              <w:snapToGrid w:val="0"/>
              <w:ind w:left="284"/>
              <w:jc w:val="both"/>
              <w:rPr>
                <w:color w:val="auto"/>
                <w:highlight w:val="none"/>
              </w:rPr>
            </w:pPr>
            <w:r>
              <w:rPr>
                <w:rFonts w:hint="eastAsia"/>
                <w:color w:val="auto"/>
                <w:highlight w:val="none"/>
              </w:rPr>
              <w:t>2.2 配备必要的药品和医疗器械等。</w:t>
            </w:r>
          </w:p>
          <w:p w14:paraId="287EE88D">
            <w:pPr>
              <w:pStyle w:val="4"/>
              <w:snapToGrid w:val="0"/>
              <w:jc w:val="both"/>
              <w:rPr>
                <w:color w:val="auto"/>
                <w:highlight w:val="none"/>
              </w:rPr>
            </w:pPr>
            <w:r>
              <w:rPr>
                <w:rFonts w:hint="eastAsia"/>
                <w:color w:val="auto"/>
                <w:highlight w:val="none"/>
              </w:rPr>
              <w:t>3</w:t>
            </w:r>
            <w:r>
              <w:rPr>
                <w:rFonts w:hint="eastAsia"/>
                <w:color w:val="auto"/>
                <w:highlight w:val="none"/>
                <w:lang w:eastAsia="zh-CN"/>
              </w:rPr>
              <w:t>.</w:t>
            </w:r>
            <w:r>
              <w:rPr>
                <w:rFonts w:hint="eastAsia"/>
                <w:color w:val="auto"/>
                <w:highlight w:val="none"/>
              </w:rPr>
              <w:t>官方指定医院</w:t>
            </w:r>
          </w:p>
          <w:p w14:paraId="640AACE0">
            <w:pPr>
              <w:pStyle w:val="4"/>
              <w:snapToGrid w:val="0"/>
              <w:ind w:left="284"/>
              <w:jc w:val="both"/>
              <w:rPr>
                <w:color w:val="auto"/>
                <w:highlight w:val="none"/>
              </w:rPr>
            </w:pPr>
            <w:r>
              <w:rPr>
                <w:rFonts w:hint="eastAsia"/>
                <w:color w:val="auto"/>
                <w:highlight w:val="none"/>
              </w:rPr>
              <w:t>开设赛事绿色医疗通道。</w:t>
            </w:r>
          </w:p>
        </w:tc>
      </w:tr>
      <w:tr w14:paraId="388768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59" w:hRule="atLeast"/>
          <w:jc w:val="center"/>
        </w:trPr>
        <w:tc>
          <w:tcPr>
            <w:tcW w:w="1418" w:type="dxa"/>
            <w:vMerge w:val="restart"/>
            <w:noWrap w:val="0"/>
            <w:vAlign w:val="center"/>
          </w:tcPr>
          <w:p w14:paraId="45CB74A7">
            <w:pPr>
              <w:pStyle w:val="4"/>
              <w:snapToGrid w:val="0"/>
              <w:jc w:val="center"/>
              <w:rPr>
                <w:color w:val="auto"/>
                <w:highlight w:val="none"/>
              </w:rPr>
            </w:pPr>
            <w:r>
              <w:rPr>
                <w:rFonts w:hint="eastAsia"/>
                <w:color w:val="auto"/>
                <w:highlight w:val="none"/>
              </w:rPr>
              <w:t>技术服务</w:t>
            </w:r>
          </w:p>
        </w:tc>
        <w:tc>
          <w:tcPr>
            <w:tcW w:w="1417" w:type="dxa"/>
            <w:noWrap w:val="0"/>
            <w:vAlign w:val="center"/>
          </w:tcPr>
          <w:p w14:paraId="2DA38BA2">
            <w:pPr>
              <w:pStyle w:val="4"/>
              <w:snapToGrid w:val="0"/>
              <w:jc w:val="center"/>
              <w:rPr>
                <w:color w:val="auto"/>
                <w:highlight w:val="none"/>
              </w:rPr>
            </w:pPr>
            <w:r>
              <w:rPr>
                <w:rFonts w:hint="eastAsia"/>
                <w:color w:val="auto"/>
                <w:highlight w:val="none"/>
              </w:rPr>
              <w:t>活动组织</w:t>
            </w:r>
          </w:p>
        </w:tc>
        <w:tc>
          <w:tcPr>
            <w:tcW w:w="6012" w:type="dxa"/>
            <w:noWrap w:val="0"/>
            <w:vAlign w:val="top"/>
          </w:tcPr>
          <w:p w14:paraId="79A7C048">
            <w:pPr>
              <w:pStyle w:val="4"/>
              <w:snapToGrid w:val="0"/>
              <w:jc w:val="both"/>
              <w:rPr>
                <w:color w:val="auto"/>
                <w:highlight w:val="none"/>
              </w:rPr>
            </w:pPr>
            <w:r>
              <w:rPr>
                <w:rFonts w:hint="eastAsia"/>
                <w:color w:val="auto"/>
                <w:highlight w:val="none"/>
              </w:rPr>
              <w:t>1</w:t>
            </w:r>
            <w:r>
              <w:rPr>
                <w:rFonts w:hint="eastAsia"/>
                <w:color w:val="auto"/>
                <w:highlight w:val="none"/>
                <w:lang w:eastAsia="zh-CN"/>
              </w:rPr>
              <w:t>.</w:t>
            </w:r>
            <w:r>
              <w:rPr>
                <w:rFonts w:hint="eastAsia"/>
                <w:color w:val="auto"/>
                <w:highlight w:val="none"/>
              </w:rPr>
              <w:t xml:space="preserve">场地勘察、规划。 </w:t>
            </w:r>
          </w:p>
          <w:p w14:paraId="3ECC42C0">
            <w:pPr>
              <w:pStyle w:val="4"/>
              <w:snapToGrid w:val="0"/>
              <w:jc w:val="both"/>
              <w:rPr>
                <w:color w:val="auto"/>
                <w:highlight w:val="none"/>
              </w:rPr>
            </w:pPr>
            <w:r>
              <w:rPr>
                <w:rFonts w:hint="eastAsia"/>
                <w:color w:val="auto"/>
                <w:highlight w:val="none"/>
              </w:rPr>
              <w:t>2</w:t>
            </w:r>
            <w:r>
              <w:rPr>
                <w:rFonts w:hint="eastAsia"/>
                <w:color w:val="auto"/>
                <w:highlight w:val="none"/>
                <w:lang w:eastAsia="zh-CN"/>
              </w:rPr>
              <w:t>.</w:t>
            </w:r>
            <w:r>
              <w:rPr>
                <w:rFonts w:hint="eastAsia"/>
                <w:color w:val="auto"/>
                <w:highlight w:val="none"/>
              </w:rPr>
              <w:t xml:space="preserve">组织机构、工作方案确定。 </w:t>
            </w:r>
          </w:p>
          <w:p w14:paraId="6AF78178">
            <w:pPr>
              <w:pStyle w:val="4"/>
              <w:snapToGrid w:val="0"/>
              <w:jc w:val="both"/>
              <w:rPr>
                <w:color w:val="auto"/>
                <w:highlight w:val="none"/>
              </w:rPr>
            </w:pPr>
            <w:r>
              <w:rPr>
                <w:rFonts w:hint="eastAsia"/>
                <w:color w:val="auto"/>
                <w:highlight w:val="none"/>
              </w:rPr>
              <w:t>3</w:t>
            </w:r>
            <w:r>
              <w:rPr>
                <w:rFonts w:hint="eastAsia"/>
                <w:color w:val="auto"/>
                <w:highlight w:val="none"/>
                <w:lang w:eastAsia="zh-CN"/>
              </w:rPr>
              <w:t>.</w:t>
            </w:r>
            <w:r>
              <w:rPr>
                <w:rFonts w:hint="eastAsia"/>
                <w:color w:val="auto"/>
                <w:highlight w:val="none"/>
              </w:rPr>
              <w:t xml:space="preserve">制订赛场形象景观方案。 </w:t>
            </w:r>
          </w:p>
          <w:p w14:paraId="337F2F84">
            <w:pPr>
              <w:pStyle w:val="4"/>
              <w:snapToGrid w:val="0"/>
              <w:jc w:val="both"/>
              <w:rPr>
                <w:color w:val="auto"/>
                <w:highlight w:val="none"/>
              </w:rPr>
            </w:pPr>
            <w:r>
              <w:rPr>
                <w:rFonts w:hint="eastAsia"/>
                <w:color w:val="auto"/>
                <w:highlight w:val="none"/>
              </w:rPr>
              <w:t>4</w:t>
            </w:r>
            <w:r>
              <w:rPr>
                <w:rFonts w:hint="eastAsia"/>
                <w:color w:val="auto"/>
                <w:highlight w:val="none"/>
                <w:lang w:eastAsia="zh-CN"/>
              </w:rPr>
              <w:t>.</w:t>
            </w:r>
            <w:r>
              <w:rPr>
                <w:rFonts w:hint="eastAsia"/>
                <w:color w:val="auto"/>
                <w:highlight w:val="none"/>
              </w:rPr>
              <w:t xml:space="preserve">后勤接待。 </w:t>
            </w:r>
          </w:p>
          <w:p w14:paraId="3B86499D">
            <w:pPr>
              <w:pStyle w:val="4"/>
              <w:snapToGrid w:val="0"/>
              <w:jc w:val="both"/>
              <w:rPr>
                <w:color w:val="auto"/>
                <w:highlight w:val="none"/>
              </w:rPr>
            </w:pPr>
            <w:r>
              <w:rPr>
                <w:rFonts w:hint="eastAsia"/>
                <w:color w:val="auto"/>
                <w:highlight w:val="none"/>
              </w:rPr>
              <w:t>5</w:t>
            </w:r>
            <w:r>
              <w:rPr>
                <w:rFonts w:hint="eastAsia"/>
                <w:color w:val="auto"/>
                <w:highlight w:val="none"/>
                <w:lang w:eastAsia="zh-CN"/>
              </w:rPr>
              <w:t>.</w:t>
            </w:r>
            <w:r>
              <w:rPr>
                <w:rFonts w:hint="eastAsia"/>
                <w:color w:val="auto"/>
                <w:highlight w:val="none"/>
              </w:rPr>
              <w:t xml:space="preserve">会议组织。 </w:t>
            </w:r>
          </w:p>
          <w:p w14:paraId="6530BEF2">
            <w:pPr>
              <w:pStyle w:val="4"/>
              <w:snapToGrid w:val="0"/>
              <w:jc w:val="both"/>
              <w:rPr>
                <w:color w:val="auto"/>
                <w:highlight w:val="none"/>
              </w:rPr>
            </w:pPr>
            <w:r>
              <w:rPr>
                <w:rFonts w:hint="eastAsia"/>
                <w:color w:val="auto"/>
                <w:highlight w:val="none"/>
              </w:rPr>
              <w:t>6</w:t>
            </w:r>
            <w:r>
              <w:rPr>
                <w:rFonts w:hint="eastAsia"/>
                <w:color w:val="auto"/>
                <w:highlight w:val="none"/>
                <w:lang w:eastAsia="zh-CN"/>
              </w:rPr>
              <w:t>.</w:t>
            </w:r>
            <w:r>
              <w:rPr>
                <w:rFonts w:hint="eastAsia"/>
                <w:color w:val="auto"/>
                <w:highlight w:val="none"/>
              </w:rPr>
              <w:t xml:space="preserve">竞赛组织。 </w:t>
            </w:r>
          </w:p>
          <w:p w14:paraId="3D8332C9">
            <w:pPr>
              <w:pStyle w:val="4"/>
              <w:snapToGrid w:val="0"/>
              <w:jc w:val="both"/>
              <w:rPr>
                <w:color w:val="auto"/>
                <w:highlight w:val="none"/>
              </w:rPr>
            </w:pPr>
            <w:r>
              <w:rPr>
                <w:rFonts w:hint="eastAsia"/>
                <w:color w:val="auto"/>
                <w:highlight w:val="none"/>
              </w:rPr>
              <w:t>7</w:t>
            </w:r>
            <w:r>
              <w:rPr>
                <w:rFonts w:hint="eastAsia"/>
                <w:color w:val="auto"/>
                <w:highlight w:val="none"/>
                <w:lang w:eastAsia="zh-CN"/>
              </w:rPr>
              <w:t>.</w:t>
            </w:r>
            <w:r>
              <w:rPr>
                <w:rFonts w:hint="eastAsia"/>
                <w:color w:val="auto"/>
                <w:highlight w:val="none"/>
              </w:rPr>
              <w:t xml:space="preserve">赛事总结及资料收集。 </w:t>
            </w:r>
          </w:p>
          <w:p w14:paraId="2BF974D9">
            <w:pPr>
              <w:pStyle w:val="4"/>
              <w:snapToGrid w:val="0"/>
              <w:jc w:val="both"/>
              <w:rPr>
                <w:color w:val="auto"/>
                <w:highlight w:val="none"/>
              </w:rPr>
            </w:pPr>
            <w:r>
              <w:rPr>
                <w:rFonts w:hint="eastAsia"/>
                <w:color w:val="auto"/>
                <w:highlight w:val="none"/>
              </w:rPr>
              <w:t>8</w:t>
            </w:r>
            <w:r>
              <w:rPr>
                <w:rFonts w:hint="eastAsia"/>
                <w:color w:val="auto"/>
                <w:highlight w:val="none"/>
                <w:lang w:eastAsia="zh-CN"/>
              </w:rPr>
              <w:t>.</w:t>
            </w:r>
            <w:r>
              <w:rPr>
                <w:rFonts w:hint="eastAsia"/>
                <w:color w:val="auto"/>
                <w:highlight w:val="none"/>
              </w:rPr>
              <w:t>其他事宜。</w:t>
            </w:r>
          </w:p>
        </w:tc>
      </w:tr>
      <w:tr w14:paraId="18DF2A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1" w:hRule="atLeast"/>
          <w:jc w:val="center"/>
        </w:trPr>
        <w:tc>
          <w:tcPr>
            <w:tcW w:w="1418" w:type="dxa"/>
            <w:vMerge w:val="continue"/>
            <w:noWrap w:val="0"/>
            <w:vAlign w:val="center"/>
          </w:tcPr>
          <w:p w14:paraId="72B11377">
            <w:pPr>
              <w:adjustRightInd w:val="0"/>
              <w:snapToGrid w:val="0"/>
              <w:jc w:val="center"/>
              <w:rPr>
                <w:color w:val="auto"/>
                <w:highlight w:val="none"/>
              </w:rPr>
            </w:pPr>
          </w:p>
        </w:tc>
        <w:tc>
          <w:tcPr>
            <w:tcW w:w="1417" w:type="dxa"/>
            <w:noWrap w:val="0"/>
            <w:vAlign w:val="center"/>
          </w:tcPr>
          <w:p w14:paraId="14116036">
            <w:pPr>
              <w:pStyle w:val="4"/>
              <w:snapToGrid w:val="0"/>
              <w:jc w:val="center"/>
              <w:rPr>
                <w:color w:val="auto"/>
                <w:highlight w:val="none"/>
              </w:rPr>
            </w:pPr>
            <w:r>
              <w:rPr>
                <w:rFonts w:hint="eastAsia"/>
                <w:color w:val="auto"/>
                <w:highlight w:val="none"/>
              </w:rPr>
              <w:t>新闻宣传</w:t>
            </w:r>
          </w:p>
        </w:tc>
        <w:tc>
          <w:tcPr>
            <w:tcW w:w="6012" w:type="dxa"/>
            <w:noWrap w:val="0"/>
            <w:vAlign w:val="top"/>
          </w:tcPr>
          <w:p w14:paraId="2B184CEC">
            <w:pPr>
              <w:pStyle w:val="4"/>
              <w:snapToGrid w:val="0"/>
              <w:jc w:val="both"/>
              <w:rPr>
                <w:color w:val="auto"/>
                <w:highlight w:val="none"/>
              </w:rPr>
            </w:pPr>
            <w:r>
              <w:rPr>
                <w:rFonts w:hint="eastAsia"/>
                <w:color w:val="auto"/>
                <w:highlight w:val="none"/>
              </w:rPr>
              <w:t>1</w:t>
            </w:r>
            <w:r>
              <w:rPr>
                <w:rFonts w:hint="eastAsia"/>
                <w:color w:val="auto"/>
                <w:highlight w:val="none"/>
                <w:lang w:eastAsia="zh-CN"/>
              </w:rPr>
              <w:t>.</w:t>
            </w:r>
            <w:r>
              <w:rPr>
                <w:color w:val="auto"/>
                <w:highlight w:val="none"/>
              </w:rPr>
              <w:t>成立赛事宣传部门，组建团队。</w:t>
            </w:r>
          </w:p>
          <w:p w14:paraId="0FEE04B8">
            <w:pPr>
              <w:pStyle w:val="4"/>
              <w:snapToGrid w:val="0"/>
              <w:jc w:val="both"/>
              <w:rPr>
                <w:color w:val="auto"/>
                <w:highlight w:val="none"/>
              </w:rPr>
            </w:pPr>
            <w:r>
              <w:rPr>
                <w:color w:val="auto"/>
                <w:highlight w:val="none"/>
              </w:rPr>
              <w:t>2</w:t>
            </w:r>
            <w:r>
              <w:rPr>
                <w:rFonts w:hint="eastAsia"/>
                <w:color w:val="auto"/>
                <w:highlight w:val="none"/>
                <w:lang w:eastAsia="zh-CN"/>
              </w:rPr>
              <w:t>.</w:t>
            </w:r>
            <w:r>
              <w:rPr>
                <w:color w:val="auto"/>
                <w:highlight w:val="none"/>
              </w:rPr>
              <w:t>制定赛事宣传工作方案，落实人员和经费保障。</w:t>
            </w:r>
          </w:p>
        </w:tc>
      </w:tr>
      <w:tr w14:paraId="271E37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jc w:val="center"/>
        </w:trPr>
        <w:tc>
          <w:tcPr>
            <w:tcW w:w="1418" w:type="dxa"/>
            <w:noWrap w:val="0"/>
            <w:vAlign w:val="center"/>
          </w:tcPr>
          <w:p w14:paraId="4D68FE28">
            <w:pPr>
              <w:pStyle w:val="4"/>
              <w:snapToGrid w:val="0"/>
              <w:jc w:val="center"/>
              <w:rPr>
                <w:color w:val="auto"/>
                <w:highlight w:val="none"/>
              </w:rPr>
            </w:pPr>
            <w:r>
              <w:rPr>
                <w:rFonts w:hint="eastAsia"/>
                <w:color w:val="auto"/>
                <w:highlight w:val="none"/>
              </w:rPr>
              <w:t>运营经费</w:t>
            </w:r>
          </w:p>
        </w:tc>
        <w:tc>
          <w:tcPr>
            <w:tcW w:w="1417" w:type="dxa"/>
            <w:noWrap w:val="0"/>
            <w:vAlign w:val="center"/>
          </w:tcPr>
          <w:p w14:paraId="351D7DC7">
            <w:pPr>
              <w:pStyle w:val="4"/>
              <w:snapToGrid w:val="0"/>
              <w:jc w:val="center"/>
              <w:rPr>
                <w:color w:val="auto"/>
                <w:highlight w:val="none"/>
              </w:rPr>
            </w:pPr>
            <w:r>
              <w:rPr>
                <w:rFonts w:hint="eastAsia"/>
                <w:color w:val="auto"/>
                <w:highlight w:val="none"/>
              </w:rPr>
              <w:t>承  办</w:t>
            </w:r>
          </w:p>
          <w:p w14:paraId="30A0B32D">
            <w:pPr>
              <w:pStyle w:val="4"/>
              <w:snapToGrid w:val="0"/>
              <w:jc w:val="center"/>
              <w:rPr>
                <w:color w:val="auto"/>
                <w:highlight w:val="none"/>
              </w:rPr>
            </w:pPr>
            <w:r>
              <w:rPr>
                <w:rFonts w:hint="eastAsia"/>
                <w:color w:val="auto"/>
                <w:highlight w:val="none"/>
              </w:rPr>
              <w:t>包  干</w:t>
            </w:r>
          </w:p>
          <w:p w14:paraId="677A0F20">
            <w:pPr>
              <w:pStyle w:val="4"/>
              <w:snapToGrid w:val="0"/>
              <w:jc w:val="center"/>
              <w:rPr>
                <w:color w:val="auto"/>
                <w:highlight w:val="none"/>
              </w:rPr>
            </w:pPr>
          </w:p>
        </w:tc>
        <w:tc>
          <w:tcPr>
            <w:tcW w:w="6012" w:type="dxa"/>
            <w:noWrap w:val="0"/>
            <w:vAlign w:val="center"/>
          </w:tcPr>
          <w:p w14:paraId="4C2C7459">
            <w:pPr>
              <w:pStyle w:val="4"/>
              <w:snapToGrid w:val="0"/>
              <w:ind w:left="240" w:hanging="240"/>
              <w:rPr>
                <w:color w:val="auto"/>
                <w:highlight w:val="none"/>
              </w:rPr>
            </w:pPr>
            <w:r>
              <w:rPr>
                <w:rFonts w:hint="eastAsia"/>
                <w:color w:val="auto"/>
                <w:highlight w:val="none"/>
              </w:rPr>
              <w:t>1</w:t>
            </w:r>
            <w:r>
              <w:rPr>
                <w:rFonts w:hint="eastAsia"/>
                <w:color w:val="auto"/>
                <w:highlight w:val="none"/>
                <w:lang w:eastAsia="zh-CN"/>
              </w:rPr>
              <w:t>.</w:t>
            </w:r>
            <w:r>
              <w:rPr>
                <w:rFonts w:hint="eastAsia"/>
                <w:color w:val="auto"/>
                <w:highlight w:val="none"/>
              </w:rPr>
              <w:t xml:space="preserve">根据中国武术协会提供的技术、规则、器材、人员等方面的指导和服务，缴纳相应的赛事技术指导和服务费。 </w:t>
            </w:r>
          </w:p>
          <w:p w14:paraId="2437529A">
            <w:pPr>
              <w:pStyle w:val="4"/>
              <w:snapToGrid w:val="0"/>
              <w:ind w:left="240" w:hanging="240"/>
              <w:rPr>
                <w:color w:val="auto"/>
                <w:highlight w:val="none"/>
              </w:rPr>
            </w:pPr>
            <w:r>
              <w:rPr>
                <w:rFonts w:hint="eastAsia"/>
                <w:color w:val="auto"/>
                <w:highlight w:val="none"/>
              </w:rPr>
              <w:t>2</w:t>
            </w:r>
            <w:r>
              <w:rPr>
                <w:rFonts w:hint="eastAsia"/>
                <w:color w:val="auto"/>
                <w:highlight w:val="none"/>
                <w:lang w:eastAsia="zh-CN"/>
              </w:rPr>
              <w:t>.</w:t>
            </w:r>
            <w:r>
              <w:rPr>
                <w:rFonts w:hint="eastAsia"/>
                <w:color w:val="auto"/>
                <w:highlight w:val="none"/>
              </w:rPr>
              <w:t xml:space="preserve">包括但不限于比赛场馆和比赛器材用具、形象景观设计和赛事宣传、技术官员交通、食宿与劳务津贴等费用。 </w:t>
            </w:r>
          </w:p>
        </w:tc>
      </w:tr>
      <w:tr w14:paraId="5F2445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jc w:val="center"/>
        </w:trPr>
        <w:tc>
          <w:tcPr>
            <w:tcW w:w="1418" w:type="dxa"/>
            <w:vMerge w:val="restart"/>
            <w:noWrap w:val="0"/>
            <w:vAlign w:val="center"/>
          </w:tcPr>
          <w:p w14:paraId="5F7433BC">
            <w:pPr>
              <w:pStyle w:val="4"/>
              <w:snapToGrid w:val="0"/>
              <w:jc w:val="center"/>
              <w:rPr>
                <w:color w:val="auto"/>
                <w:highlight w:val="none"/>
              </w:rPr>
            </w:pPr>
            <w:r>
              <w:rPr>
                <w:rFonts w:hint="eastAsia"/>
                <w:color w:val="auto"/>
                <w:highlight w:val="none"/>
              </w:rPr>
              <w:t>权利义务</w:t>
            </w:r>
          </w:p>
        </w:tc>
        <w:tc>
          <w:tcPr>
            <w:tcW w:w="1417" w:type="dxa"/>
            <w:noWrap w:val="0"/>
            <w:vAlign w:val="center"/>
          </w:tcPr>
          <w:p w14:paraId="1DDCEF07">
            <w:pPr>
              <w:pStyle w:val="4"/>
              <w:snapToGrid w:val="0"/>
              <w:jc w:val="center"/>
              <w:rPr>
                <w:color w:val="auto"/>
                <w:highlight w:val="none"/>
              </w:rPr>
            </w:pPr>
            <w:r>
              <w:rPr>
                <w:rFonts w:hint="eastAsia"/>
                <w:color w:val="auto"/>
                <w:highlight w:val="none"/>
              </w:rPr>
              <w:t>义  务</w:t>
            </w:r>
          </w:p>
        </w:tc>
        <w:tc>
          <w:tcPr>
            <w:tcW w:w="6012" w:type="dxa"/>
            <w:noWrap w:val="0"/>
            <w:vAlign w:val="center"/>
          </w:tcPr>
          <w:p w14:paraId="5E041F63">
            <w:pPr>
              <w:pStyle w:val="4"/>
              <w:snapToGrid w:val="0"/>
              <w:jc w:val="both"/>
              <w:rPr>
                <w:color w:val="auto"/>
                <w:highlight w:val="none"/>
              </w:rPr>
            </w:pPr>
            <w:r>
              <w:rPr>
                <w:rFonts w:hint="eastAsia"/>
                <w:color w:val="auto"/>
                <w:highlight w:val="none"/>
              </w:rPr>
              <w:t>负责裁判员交通食宿劳务费；落实场地、设施与器材；负责接待、医疗急救、供电、防火、现场保安以及其它有关比赛所需的工作及费用等。</w:t>
            </w:r>
          </w:p>
        </w:tc>
      </w:tr>
      <w:tr w14:paraId="0EF069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jc w:val="center"/>
        </w:trPr>
        <w:tc>
          <w:tcPr>
            <w:tcW w:w="1418" w:type="dxa"/>
            <w:vMerge w:val="continue"/>
            <w:noWrap w:val="0"/>
            <w:vAlign w:val="center"/>
          </w:tcPr>
          <w:p w14:paraId="56A88C5A">
            <w:pPr>
              <w:adjustRightInd w:val="0"/>
              <w:snapToGrid w:val="0"/>
              <w:jc w:val="center"/>
              <w:rPr>
                <w:color w:val="auto"/>
                <w:sz w:val="24"/>
                <w:highlight w:val="none"/>
              </w:rPr>
            </w:pPr>
          </w:p>
        </w:tc>
        <w:tc>
          <w:tcPr>
            <w:tcW w:w="1417" w:type="dxa"/>
            <w:noWrap w:val="0"/>
            <w:vAlign w:val="center"/>
          </w:tcPr>
          <w:p w14:paraId="412E0444">
            <w:pPr>
              <w:pStyle w:val="4"/>
              <w:snapToGrid w:val="0"/>
              <w:jc w:val="center"/>
              <w:rPr>
                <w:color w:val="auto"/>
                <w:highlight w:val="none"/>
              </w:rPr>
            </w:pPr>
            <w:r>
              <w:rPr>
                <w:rFonts w:hint="eastAsia"/>
                <w:color w:val="auto"/>
                <w:highlight w:val="none"/>
              </w:rPr>
              <w:t>权  利</w:t>
            </w:r>
          </w:p>
        </w:tc>
        <w:tc>
          <w:tcPr>
            <w:tcW w:w="6012" w:type="dxa"/>
            <w:noWrap w:val="0"/>
            <w:vAlign w:val="center"/>
          </w:tcPr>
          <w:p w14:paraId="77818F34">
            <w:pPr>
              <w:pStyle w:val="4"/>
              <w:snapToGrid w:val="0"/>
              <w:jc w:val="both"/>
              <w:rPr>
                <w:color w:val="auto"/>
                <w:highlight w:val="none"/>
              </w:rPr>
            </w:pPr>
            <w:r>
              <w:rPr>
                <w:rFonts w:hint="eastAsia"/>
                <w:color w:val="auto"/>
                <w:highlight w:val="none"/>
              </w:rPr>
              <w:t>获得赛事冠名权、冠杯权、广告招商权；电视、网络、</w:t>
            </w:r>
            <w:r>
              <w:rPr>
                <w:color w:val="auto"/>
                <w:highlight w:val="none"/>
              </w:rPr>
              <w:t>新媒体转播</w:t>
            </w:r>
            <w:r>
              <w:rPr>
                <w:rFonts w:hint="eastAsia"/>
                <w:color w:val="auto"/>
                <w:highlight w:val="none"/>
              </w:rPr>
              <w:t>权；相关衍生</w:t>
            </w:r>
            <w:r>
              <w:rPr>
                <w:color w:val="auto"/>
                <w:highlight w:val="none"/>
              </w:rPr>
              <w:t>产品开发</w:t>
            </w:r>
            <w:r>
              <w:rPr>
                <w:rFonts w:hint="eastAsia"/>
                <w:color w:val="auto"/>
                <w:highlight w:val="none"/>
              </w:rPr>
              <w:t>权等。</w:t>
            </w:r>
          </w:p>
        </w:tc>
      </w:tr>
      <w:tr w14:paraId="10BFCD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847" w:type="dxa"/>
            <w:gridSpan w:val="3"/>
            <w:shd w:val="pct10" w:color="auto" w:fill="auto"/>
            <w:noWrap w:val="0"/>
            <w:vAlign w:val="center"/>
          </w:tcPr>
          <w:p w14:paraId="3FD55359">
            <w:pPr>
              <w:pStyle w:val="4"/>
              <w:snapToGrid w:val="0"/>
              <w:jc w:val="both"/>
              <w:rPr>
                <w:rFonts w:ascii="微软雅黑" w:eastAsia="微软雅黑"/>
                <w:color w:val="auto"/>
                <w:highlight w:val="none"/>
              </w:rPr>
            </w:pPr>
            <w:r>
              <w:rPr>
                <w:rFonts w:hint="eastAsia" w:ascii="微软雅黑" w:eastAsia="微软雅黑"/>
                <w:color w:val="auto"/>
                <w:highlight w:val="none"/>
              </w:rPr>
              <w:t>申办程序</w:t>
            </w:r>
          </w:p>
        </w:tc>
      </w:tr>
      <w:tr w14:paraId="222CA2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6" w:hRule="atLeast"/>
          <w:jc w:val="center"/>
        </w:trPr>
        <w:tc>
          <w:tcPr>
            <w:tcW w:w="1418" w:type="dxa"/>
            <w:noWrap w:val="0"/>
            <w:vAlign w:val="center"/>
          </w:tcPr>
          <w:p w14:paraId="714BE22B">
            <w:pPr>
              <w:pStyle w:val="4"/>
              <w:snapToGrid w:val="0"/>
              <w:jc w:val="both"/>
              <w:rPr>
                <w:color w:val="auto"/>
                <w:highlight w:val="none"/>
              </w:rPr>
            </w:pPr>
            <w:r>
              <w:rPr>
                <w:rFonts w:hint="eastAsia"/>
                <w:color w:val="auto"/>
                <w:highlight w:val="none"/>
              </w:rPr>
              <w:t>申办报名</w:t>
            </w:r>
          </w:p>
        </w:tc>
        <w:tc>
          <w:tcPr>
            <w:tcW w:w="7429" w:type="dxa"/>
            <w:gridSpan w:val="2"/>
            <w:noWrap w:val="0"/>
            <w:vAlign w:val="center"/>
          </w:tcPr>
          <w:p w14:paraId="58D21681">
            <w:pPr>
              <w:pStyle w:val="4"/>
              <w:snapToGrid w:val="0"/>
              <w:jc w:val="both"/>
              <w:rPr>
                <w:color w:val="auto"/>
                <w:highlight w:val="none"/>
              </w:rPr>
            </w:pPr>
            <w:r>
              <w:rPr>
                <w:rFonts w:hint="eastAsia"/>
                <w:color w:val="auto"/>
                <w:highlight w:val="none"/>
              </w:rPr>
              <w:t>请将申办材料于202</w:t>
            </w:r>
            <w:r>
              <w:rPr>
                <w:rFonts w:hint="eastAsia"/>
                <w:color w:val="auto"/>
                <w:highlight w:val="none"/>
                <w:lang w:val="en-US" w:eastAsia="zh-CN"/>
              </w:rPr>
              <w:t>5</w:t>
            </w:r>
            <w:r>
              <w:rPr>
                <w:rFonts w:hint="eastAsia"/>
                <w:color w:val="auto"/>
                <w:highlight w:val="none"/>
              </w:rPr>
              <w:t>年</w:t>
            </w:r>
            <w:r>
              <w:rPr>
                <w:rFonts w:hint="eastAsia"/>
                <w:color w:val="auto"/>
                <w:highlight w:val="none"/>
                <w:lang w:val="en-US" w:eastAsia="zh-CN"/>
              </w:rPr>
              <w:t>6</w:t>
            </w:r>
            <w:r>
              <w:rPr>
                <w:rFonts w:hint="eastAsia"/>
                <w:color w:val="auto"/>
                <w:highlight w:val="none"/>
              </w:rPr>
              <w:t>月</w:t>
            </w:r>
            <w:r>
              <w:rPr>
                <w:rFonts w:hint="eastAsia"/>
                <w:color w:val="auto"/>
                <w:highlight w:val="none"/>
                <w:lang w:val="en-US" w:eastAsia="zh-CN"/>
              </w:rPr>
              <w:t>25</w:t>
            </w:r>
            <w:r>
              <w:rPr>
                <w:rFonts w:hint="eastAsia"/>
                <w:color w:val="auto"/>
                <w:highlight w:val="none"/>
              </w:rPr>
              <w:t>日前邮寄到武术中心</w:t>
            </w:r>
            <w:r>
              <w:rPr>
                <w:rFonts w:hint="eastAsia"/>
                <w:color w:val="auto"/>
                <w:highlight w:val="none"/>
                <w:lang w:val="en-US" w:eastAsia="zh-CN"/>
              </w:rPr>
              <w:t>搏击部</w:t>
            </w:r>
            <w:r>
              <w:rPr>
                <w:rFonts w:hint="eastAsia"/>
                <w:color w:val="auto"/>
                <w:highlight w:val="none"/>
              </w:rPr>
              <w:t>。</w:t>
            </w:r>
          </w:p>
        </w:tc>
      </w:tr>
      <w:tr w14:paraId="36FA90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7" w:hRule="atLeast"/>
          <w:jc w:val="center"/>
        </w:trPr>
        <w:tc>
          <w:tcPr>
            <w:tcW w:w="1418" w:type="dxa"/>
            <w:noWrap w:val="0"/>
            <w:vAlign w:val="center"/>
          </w:tcPr>
          <w:p w14:paraId="022CDF34">
            <w:pPr>
              <w:pStyle w:val="4"/>
              <w:snapToGrid w:val="0"/>
              <w:jc w:val="both"/>
              <w:rPr>
                <w:color w:val="auto"/>
                <w:highlight w:val="none"/>
              </w:rPr>
            </w:pPr>
            <w:r>
              <w:rPr>
                <w:rFonts w:hint="eastAsia"/>
                <w:color w:val="auto"/>
                <w:highlight w:val="none"/>
              </w:rPr>
              <w:t>评审确认</w:t>
            </w:r>
          </w:p>
        </w:tc>
        <w:tc>
          <w:tcPr>
            <w:tcW w:w="7429" w:type="dxa"/>
            <w:gridSpan w:val="2"/>
            <w:noWrap w:val="0"/>
            <w:vAlign w:val="center"/>
          </w:tcPr>
          <w:p w14:paraId="2C1786F2">
            <w:pPr>
              <w:pStyle w:val="4"/>
              <w:snapToGrid w:val="0"/>
              <w:jc w:val="both"/>
              <w:rPr>
                <w:color w:val="auto"/>
                <w:highlight w:val="none"/>
              </w:rPr>
            </w:pPr>
            <w:r>
              <w:rPr>
                <w:rFonts w:hint="eastAsia"/>
                <w:color w:val="auto"/>
                <w:highlight w:val="none"/>
                <w:lang w:val="en-US" w:eastAsia="zh-CN"/>
              </w:rPr>
              <w:t>综合</w:t>
            </w:r>
            <w:r>
              <w:rPr>
                <w:rFonts w:hint="eastAsia"/>
                <w:color w:val="auto"/>
                <w:highlight w:val="none"/>
              </w:rPr>
              <w:t>评审。</w:t>
            </w:r>
          </w:p>
        </w:tc>
      </w:tr>
      <w:tr w14:paraId="1F8FC3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0" w:hRule="atLeast"/>
          <w:jc w:val="center"/>
        </w:trPr>
        <w:tc>
          <w:tcPr>
            <w:tcW w:w="1418" w:type="dxa"/>
            <w:noWrap w:val="0"/>
            <w:vAlign w:val="center"/>
          </w:tcPr>
          <w:p w14:paraId="7E6D64FC">
            <w:pPr>
              <w:pStyle w:val="4"/>
              <w:snapToGrid w:val="0"/>
              <w:jc w:val="both"/>
              <w:rPr>
                <w:color w:val="auto"/>
                <w:highlight w:val="none"/>
              </w:rPr>
            </w:pPr>
            <w:r>
              <w:rPr>
                <w:rFonts w:hint="eastAsia"/>
                <w:color w:val="auto"/>
                <w:highlight w:val="none"/>
              </w:rPr>
              <w:t>网上公示</w:t>
            </w:r>
          </w:p>
        </w:tc>
        <w:tc>
          <w:tcPr>
            <w:tcW w:w="7429" w:type="dxa"/>
            <w:gridSpan w:val="2"/>
            <w:noWrap w:val="0"/>
            <w:vAlign w:val="center"/>
          </w:tcPr>
          <w:p w14:paraId="578A8B20">
            <w:pPr>
              <w:pStyle w:val="4"/>
              <w:snapToGrid w:val="0"/>
              <w:jc w:val="both"/>
              <w:rPr>
                <w:color w:val="auto"/>
                <w:highlight w:val="none"/>
              </w:rPr>
            </w:pPr>
            <w:r>
              <w:rPr>
                <w:color w:val="auto"/>
                <w:highlight w:val="none"/>
              </w:rPr>
              <w:t>确认承办单位后在中国武术协会网站公示。</w:t>
            </w:r>
          </w:p>
        </w:tc>
      </w:tr>
      <w:tr w14:paraId="39C1D0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0" w:hRule="atLeast"/>
          <w:jc w:val="center"/>
        </w:trPr>
        <w:tc>
          <w:tcPr>
            <w:tcW w:w="1418" w:type="dxa"/>
            <w:noWrap w:val="0"/>
            <w:vAlign w:val="center"/>
          </w:tcPr>
          <w:p w14:paraId="7E36A883">
            <w:pPr>
              <w:pStyle w:val="4"/>
              <w:snapToGrid w:val="0"/>
              <w:jc w:val="both"/>
              <w:rPr>
                <w:color w:val="auto"/>
                <w:highlight w:val="none"/>
              </w:rPr>
            </w:pPr>
            <w:r>
              <w:rPr>
                <w:rFonts w:hint="eastAsia"/>
                <w:color w:val="auto"/>
                <w:highlight w:val="none"/>
              </w:rPr>
              <w:t>合同签订</w:t>
            </w:r>
          </w:p>
        </w:tc>
        <w:tc>
          <w:tcPr>
            <w:tcW w:w="7429" w:type="dxa"/>
            <w:gridSpan w:val="2"/>
            <w:noWrap w:val="0"/>
            <w:vAlign w:val="center"/>
          </w:tcPr>
          <w:p w14:paraId="78FB17AF">
            <w:pPr>
              <w:pStyle w:val="4"/>
              <w:snapToGrid w:val="0"/>
              <w:jc w:val="both"/>
              <w:rPr>
                <w:color w:val="auto"/>
                <w:highlight w:val="none"/>
              </w:rPr>
            </w:pPr>
            <w:r>
              <w:rPr>
                <w:color w:val="auto"/>
                <w:highlight w:val="none"/>
              </w:rPr>
              <w:t>网上公示无异议后签订协议。</w:t>
            </w:r>
          </w:p>
        </w:tc>
      </w:tr>
      <w:tr w14:paraId="20F26C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847" w:type="dxa"/>
            <w:gridSpan w:val="3"/>
            <w:shd w:val="pct10" w:color="auto" w:fill="auto"/>
            <w:noWrap w:val="0"/>
            <w:vAlign w:val="center"/>
          </w:tcPr>
          <w:p w14:paraId="1E6A398A">
            <w:pPr>
              <w:pStyle w:val="4"/>
              <w:snapToGrid w:val="0"/>
              <w:jc w:val="both"/>
              <w:rPr>
                <w:color w:val="auto"/>
                <w:highlight w:val="none"/>
              </w:rPr>
            </w:pPr>
            <w:r>
              <w:rPr>
                <w:rFonts w:hint="eastAsia" w:ascii="微软雅黑" w:eastAsia="微软雅黑"/>
                <w:color w:val="auto"/>
                <w:highlight w:val="none"/>
              </w:rPr>
              <w:t>联系方式</w:t>
            </w:r>
          </w:p>
        </w:tc>
      </w:tr>
      <w:tr w14:paraId="0753CA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15" w:hRule="atLeast"/>
          <w:jc w:val="center"/>
        </w:trPr>
        <w:tc>
          <w:tcPr>
            <w:tcW w:w="8847" w:type="dxa"/>
            <w:gridSpan w:val="3"/>
            <w:noWrap w:val="0"/>
            <w:vAlign w:val="top"/>
          </w:tcPr>
          <w:p w14:paraId="0191B97E">
            <w:pPr>
              <w:pStyle w:val="4"/>
              <w:snapToGrid w:val="0"/>
              <w:jc w:val="both"/>
              <w:rPr>
                <w:color w:val="auto"/>
                <w:highlight w:val="none"/>
              </w:rPr>
            </w:pPr>
            <w:r>
              <w:rPr>
                <w:rFonts w:hint="eastAsia"/>
                <w:color w:val="auto"/>
                <w:highlight w:val="none"/>
              </w:rPr>
              <w:t>部门：国家体育总局武术运动管理中心搏击部</w:t>
            </w:r>
          </w:p>
          <w:p w14:paraId="496DE171">
            <w:pPr>
              <w:pStyle w:val="4"/>
              <w:snapToGrid w:val="0"/>
              <w:jc w:val="both"/>
              <w:rPr>
                <w:color w:val="auto"/>
                <w:highlight w:val="none"/>
              </w:rPr>
            </w:pPr>
            <w:r>
              <w:rPr>
                <w:rFonts w:hint="eastAsia"/>
                <w:color w:val="auto"/>
                <w:highlight w:val="none"/>
              </w:rPr>
              <w:t>地址：北京市朝阳区安定路3号</w:t>
            </w:r>
          </w:p>
          <w:p w14:paraId="114CAAAB">
            <w:pPr>
              <w:pStyle w:val="4"/>
              <w:snapToGrid w:val="0"/>
              <w:jc w:val="both"/>
              <w:rPr>
                <w:rFonts w:hint="eastAsia" w:eastAsia="宋体"/>
                <w:color w:val="auto"/>
                <w:highlight w:val="none"/>
                <w:lang w:eastAsia="zh-CN"/>
              </w:rPr>
            </w:pPr>
            <w:r>
              <w:rPr>
                <w:rFonts w:hint="eastAsia"/>
                <w:color w:val="auto"/>
                <w:highlight w:val="none"/>
              </w:rPr>
              <w:t>联系人：</w:t>
            </w:r>
            <w:r>
              <w:rPr>
                <w:rFonts w:hint="eastAsia"/>
                <w:color w:val="auto"/>
                <w:highlight w:val="none"/>
                <w:lang w:val="en-US" w:eastAsia="zh-CN"/>
              </w:rPr>
              <w:t>王一丹</w:t>
            </w:r>
          </w:p>
          <w:p w14:paraId="49A60C26">
            <w:pPr>
              <w:pStyle w:val="4"/>
              <w:snapToGrid w:val="0"/>
              <w:jc w:val="both"/>
              <w:rPr>
                <w:rFonts w:hint="default" w:eastAsia="宋体"/>
                <w:color w:val="auto"/>
                <w:highlight w:val="none"/>
                <w:lang w:val="en-US" w:eastAsia="zh-CN"/>
              </w:rPr>
            </w:pPr>
            <w:r>
              <w:rPr>
                <w:rFonts w:hint="eastAsia"/>
                <w:color w:val="auto"/>
                <w:highlight w:val="none"/>
              </w:rPr>
              <w:t>电话：010-6491</w:t>
            </w:r>
            <w:r>
              <w:rPr>
                <w:rFonts w:hint="eastAsia"/>
                <w:color w:val="auto"/>
                <w:highlight w:val="none"/>
                <w:lang w:val="en-US" w:eastAsia="zh-CN"/>
              </w:rPr>
              <w:t>2268</w:t>
            </w:r>
          </w:p>
          <w:p w14:paraId="5DAB14F8">
            <w:pPr>
              <w:pStyle w:val="4"/>
              <w:snapToGrid w:val="0"/>
              <w:jc w:val="both"/>
              <w:rPr>
                <w:color w:val="auto"/>
                <w:highlight w:val="none"/>
              </w:rPr>
            </w:pPr>
            <w:r>
              <w:rPr>
                <w:rFonts w:hint="eastAsia"/>
                <w:color w:val="auto"/>
                <w:highlight w:val="none"/>
              </w:rPr>
              <w:t>邮箱：wushubojibu@163.com</w:t>
            </w:r>
          </w:p>
        </w:tc>
      </w:tr>
    </w:tbl>
    <w:p w14:paraId="05339932">
      <w:pPr>
        <w:tabs>
          <w:tab w:val="left" w:pos="3026"/>
        </w:tabs>
        <w:jc w:val="left"/>
        <w:rPr>
          <w:color w:val="auto"/>
          <w:highlight w:val="none"/>
        </w:rPr>
      </w:pPr>
    </w:p>
    <w:p w14:paraId="62BD1F8A">
      <w:pPr>
        <w:tabs>
          <w:tab w:val="left" w:pos="3026"/>
        </w:tabs>
        <w:jc w:val="left"/>
        <w:rPr>
          <w:color w:val="auto"/>
          <w:highlight w:val="none"/>
        </w:rPr>
      </w:pPr>
    </w:p>
    <w:p w14:paraId="0A7F491B">
      <w:pPr>
        <w:tabs>
          <w:tab w:val="left" w:pos="3026"/>
        </w:tabs>
        <w:jc w:val="left"/>
        <w:rPr>
          <w:color w:val="auto"/>
          <w:highlight w:val="none"/>
        </w:rPr>
      </w:pPr>
    </w:p>
    <w:p w14:paraId="5D102DDC">
      <w:pPr>
        <w:tabs>
          <w:tab w:val="left" w:pos="3026"/>
        </w:tabs>
        <w:jc w:val="left"/>
        <w:rPr>
          <w:color w:val="auto"/>
          <w:highlight w:val="none"/>
        </w:rPr>
      </w:pPr>
    </w:p>
    <w:p w14:paraId="49507482">
      <w:pPr>
        <w:tabs>
          <w:tab w:val="left" w:pos="3026"/>
        </w:tabs>
        <w:jc w:val="left"/>
        <w:rPr>
          <w:color w:val="auto"/>
          <w:highlight w:val="none"/>
        </w:rPr>
      </w:pPr>
    </w:p>
    <w:p w14:paraId="70F68994">
      <w:pPr>
        <w:tabs>
          <w:tab w:val="left" w:pos="3026"/>
        </w:tabs>
        <w:jc w:val="left"/>
        <w:rPr>
          <w:color w:val="auto"/>
          <w:highlight w:val="none"/>
        </w:rPr>
      </w:pPr>
    </w:p>
    <w:p w14:paraId="6C5DB397">
      <w:pPr>
        <w:tabs>
          <w:tab w:val="left" w:pos="3026"/>
        </w:tabs>
        <w:jc w:val="left"/>
        <w:rPr>
          <w:color w:val="auto"/>
          <w:highlight w:val="none"/>
        </w:rPr>
      </w:pPr>
    </w:p>
    <w:p w14:paraId="347FD53C">
      <w:pPr>
        <w:tabs>
          <w:tab w:val="left" w:pos="3026"/>
        </w:tabs>
        <w:jc w:val="left"/>
        <w:rPr>
          <w:color w:val="auto"/>
          <w:highlight w:val="none"/>
        </w:rPr>
      </w:pPr>
    </w:p>
    <w:p w14:paraId="08670733">
      <w:pPr>
        <w:tabs>
          <w:tab w:val="left" w:pos="3026"/>
        </w:tabs>
        <w:jc w:val="left"/>
        <w:rPr>
          <w:color w:val="auto"/>
          <w:highlight w:val="none"/>
        </w:rPr>
      </w:pPr>
    </w:p>
    <w:p w14:paraId="5262A86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F84E9E"/>
    <w:rsid w:val="38F84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2025-06-22T23:14:00Z</dcterms:created>
  <dc:creator>玩美125</dc:creator>
  <cp:lastModifiedBy>玩美125</cp:lastModifiedBy>
  <dcterms:modified xsi:type="dcterms:W3CDTF">2025-06-22T23:15:46Z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8531BEAD74214759AC72D37AABFAE4AE_11</vt:lpwstr>
  </property>
  <property fmtid="{D5CDD505-2E9C-101B-9397-08002B2CF9AE}" pid="4" name="KSOTemplateDocerSaveRecord">
    <vt:lpwstr>eyJoZGlkIjoiMGRhYmMyOTcxNzgyZDE2MjViMjNiNzM2YzE5ZWQyZjUifQ==</vt:lpwstr>
  </property>
</Properties>
</file>